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1387" w:right="1436" w:hanging="12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  <w:t>ЛІКУВАЛЬНА ФІЗИЧНА КУЛЬТУРА ТА ФІЗІОТЕРАПІЯ В КОМПЛЕКСНОМУ ЛІКУВАННІ ХВОРИХ НА ХРОНІЧНИЙ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21" w:lineRule="exact"/>
        <w:ind w:left="479" w:right="536"/>
        <w:jc w:val="both"/>
        <w:rPr>
          <w:rFonts w:ascii="Times New Roman" w:eastAsia="Times New Roman" w:hAnsi="Times New Roman" w:cs="Times New Roman"/>
          <w:b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b/>
          <w:sz w:val="28"/>
          <w:lang w:bidi="en-US"/>
        </w:rPr>
        <w:t>ГЛОМЕРУЛОНЕФРИТ НА САНАТОРНОМУ ЕТАПІ РЕАБІЛІТАЦІЇ</w:t>
      </w:r>
    </w:p>
    <w:p w:rsidR="00B96915" w:rsidRPr="00B96915" w:rsidRDefault="00B96915" w:rsidP="00B96915">
      <w:pPr>
        <w:widowControl w:val="0"/>
        <w:autoSpaceDE w:val="0"/>
        <w:autoSpaceDN w:val="0"/>
        <w:spacing w:before="4" w:after="0" w:line="240" w:lineRule="auto"/>
        <w:jc w:val="both"/>
        <w:rPr>
          <w:rFonts w:ascii="Times New Roman" w:eastAsia="Times New Roman" w:hAnsi="Times New Roman" w:cs="Times New Roman"/>
          <w:b/>
          <w:sz w:val="27"/>
          <w:szCs w:val="28"/>
          <w:lang w:bidi="en-US"/>
        </w:rPr>
      </w:pPr>
    </w:p>
    <w:p w:rsidR="00B96915" w:rsidRPr="00B96915" w:rsidRDefault="00B96915" w:rsidP="00B96915">
      <w:pPr>
        <w:widowControl w:val="0"/>
        <w:autoSpaceDE w:val="0"/>
        <w:autoSpaceDN w:val="0"/>
        <w:spacing w:after="0" w:line="328" w:lineRule="exact"/>
        <w:ind w:left="1077" w:right="70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Оршацька Н.В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>1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., Білоусова Л.Г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>2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., Ананьєва Т.Г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>3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22" w:lineRule="exact"/>
        <w:ind w:left="1063" w:right="700"/>
        <w:jc w:val="both"/>
        <w:rPr>
          <w:rFonts w:ascii="Times New Roman" w:eastAsia="Times New Roman" w:hAnsi="Times New Roman" w:cs="Times New Roman"/>
          <w:i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i/>
          <w:position w:val="9"/>
          <w:sz w:val="18"/>
          <w:lang w:bidi="en-US"/>
        </w:rPr>
        <w:t>1</w:t>
      </w:r>
      <w:r w:rsidRPr="00B96915">
        <w:rPr>
          <w:rFonts w:ascii="Times New Roman" w:eastAsia="Times New Roman" w:hAnsi="Times New Roman" w:cs="Times New Roman"/>
          <w:i/>
          <w:sz w:val="28"/>
          <w:lang w:bidi="en-US"/>
        </w:rPr>
        <w:t>Харківський національний університет радіоелектроніки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22" w:lineRule="exact"/>
        <w:ind w:left="1060" w:right="700"/>
        <w:jc w:val="both"/>
        <w:rPr>
          <w:rFonts w:ascii="Times New Roman" w:eastAsia="Times New Roman" w:hAnsi="Times New Roman" w:cs="Times New Roman"/>
          <w:i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i/>
          <w:position w:val="9"/>
          <w:sz w:val="18"/>
          <w:lang w:bidi="en-US"/>
        </w:rPr>
        <w:t>2</w:t>
      </w:r>
      <w:r w:rsidRPr="00B96915">
        <w:rPr>
          <w:rFonts w:ascii="Times New Roman" w:eastAsia="Times New Roman" w:hAnsi="Times New Roman" w:cs="Times New Roman"/>
          <w:i/>
          <w:sz w:val="28"/>
          <w:lang w:bidi="en-US"/>
        </w:rPr>
        <w:t>ДУ «ІЗНХ ім. В. Т. Зайцева НАМНУ»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1059" w:right="700"/>
        <w:jc w:val="both"/>
        <w:rPr>
          <w:rFonts w:ascii="Times New Roman" w:eastAsia="Times New Roman" w:hAnsi="Times New Roman" w:cs="Times New Roman"/>
          <w:i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i/>
          <w:position w:val="9"/>
          <w:sz w:val="18"/>
          <w:lang w:bidi="en-US"/>
        </w:rPr>
        <w:t>3</w:t>
      </w:r>
      <w:r w:rsidRPr="00B96915">
        <w:rPr>
          <w:rFonts w:ascii="Times New Roman" w:eastAsia="Times New Roman" w:hAnsi="Times New Roman" w:cs="Times New Roman"/>
          <w:i/>
          <w:sz w:val="28"/>
          <w:lang w:bidi="en-US"/>
        </w:rPr>
        <w:t>Харківська державна академія фізичної культури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bidi="en-US"/>
        </w:rPr>
      </w:pP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8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>Анотація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. У статті розглянуто основні підходи до призначення лікувальної фізичної культури та фізіотерапії у комплексному лікуванні хворих на хронічний гломерулонефрит в умовах санаторію з урахуванням клінічної форми та періоду перебігу хвороби.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8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>Ключові слова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: хронічний гломерулонефрит, лікувальна фізична культура, фізіотерапія, санаторний етап.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2" w:lineRule="auto"/>
        <w:ind w:left="393" w:right="734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>Вступ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. Запальні захворювання нирок входять в число найбільш поширених хвороб, які в останні роки значно зростають серед населення [6]. Відомо, що нирки є важливим органом з інтенсивним кровообігом, якийвиконує декілька важливих функцій в організмі людини, а саме: виведення накопичених шлаків і продуктів обміну та регуляцію водно-сольового обміну за рахунок зміни кількості сечі та концентрації солей у ній; підтримують кислотно-лужну рівновагу, виконують ендокринну функцію, тобто беруть участь не тільки у зовнішній секреції, виводячи продукти метаболізму, але і у внутрішній — виділяють ферменти, які гальмують виведення з організму натрія і води, тим самим підвищуючи об’єм крові, що циркулює в організмі людини [9]. Тому захворювання нирок веде до зсувів у всьому організмі.</w:t>
      </w:r>
    </w:p>
    <w:p w:rsidR="00B96915" w:rsidRPr="00B96915" w:rsidRDefault="00B96915" w:rsidP="00B96915">
      <w:pPr>
        <w:widowControl w:val="0"/>
        <w:autoSpaceDE w:val="0"/>
        <w:autoSpaceDN w:val="0"/>
        <w:spacing w:before="3" w:after="0" w:line="240" w:lineRule="auto"/>
        <w:ind w:left="393" w:right="733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Ряд авторів [1, 8, 11] вважають доцільним лікування хворих на хронічний гломерулонефрит в періоді загострення хвороби і залишкових явищ загострення медикаментозною терапією та дієтотерапією в умовах стаціонару та поліклініки, і є поодинокі роботи, які присвячені розгляду призначення окремих засобів фізичної реабілітації — лікувальної фізичної культури [5], фізіотерапії [13] хворим, які знаходяться в періоді ремісії перебігу хвороби. Тому узагальнення сучасних підходів </w:t>
      </w:r>
      <w:r w:rsidRPr="00B96915">
        <w:rPr>
          <w:rFonts w:ascii="Times New Roman" w:eastAsia="Times New Roman" w:hAnsi="Times New Roman" w:cs="Times New Roman"/>
          <w:spacing w:val="3"/>
          <w:sz w:val="28"/>
          <w:szCs w:val="28"/>
          <w:lang w:bidi="en-US"/>
        </w:rPr>
        <w:t xml:space="preserve">до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застосування комплексного лікування хворих на хронічний гломерулонефрит засобами фізичної реабілітації з урахуванням клінічної форми та стадії перебігу хвороби є, на нашу думку, сучасною актуальною медичною та соціальною</w:t>
      </w:r>
      <w:r w:rsidRPr="00B96915">
        <w:rPr>
          <w:rFonts w:ascii="Times New Roman" w:eastAsia="Times New Roman" w:hAnsi="Times New Roman" w:cs="Times New Roman"/>
          <w:spacing w:val="-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проблемою.</w:t>
      </w:r>
    </w:p>
    <w:p w:rsidR="00B96915" w:rsidRPr="00B96915" w:rsidRDefault="00B96915" w:rsidP="00B96915">
      <w:pPr>
        <w:widowControl w:val="0"/>
        <w:autoSpaceDE w:val="0"/>
        <w:autoSpaceDN w:val="0"/>
        <w:spacing w:before="2" w:after="0" w:line="240" w:lineRule="auto"/>
        <w:ind w:left="393" w:right="736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 xml:space="preserve">Мета роботи.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Проаналізувати та узагальнити сучасні підходи до призначення лікувальної фізичної культури та фізіотерапії в комплексному лікуванні хворих на хронічний гломерулонефрит з урахуванням клінічної форми перебігу хвороби на санаторному етапі</w:t>
      </w:r>
      <w:r w:rsidRPr="00B96915">
        <w:rPr>
          <w:rFonts w:ascii="Times New Roman" w:eastAsia="Times New Roman" w:hAnsi="Times New Roman" w:cs="Times New Roman"/>
          <w:spacing w:val="-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реабілітації.</w:t>
      </w:r>
    </w:p>
    <w:p w:rsidR="00B96915" w:rsidRPr="00B96915" w:rsidRDefault="00B96915" w:rsidP="00B96915">
      <w:pPr>
        <w:widowControl w:val="0"/>
        <w:autoSpaceDE w:val="0"/>
        <w:autoSpaceDN w:val="0"/>
        <w:spacing w:before="4" w:after="0" w:line="319" w:lineRule="exact"/>
        <w:ind w:left="1103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t>Завдання роботи:</w:t>
      </w:r>
    </w:p>
    <w:p w:rsidR="00B96915" w:rsidRPr="00B96915" w:rsidRDefault="00B96915" w:rsidP="00B96915">
      <w:pPr>
        <w:widowControl w:val="0"/>
        <w:numPr>
          <w:ilvl w:val="0"/>
          <w:numId w:val="3"/>
        </w:numPr>
        <w:tabs>
          <w:tab w:val="left" w:pos="749"/>
        </w:tabs>
        <w:autoSpaceDE w:val="0"/>
        <w:autoSpaceDN w:val="0"/>
        <w:spacing w:after="0" w:line="240" w:lineRule="auto"/>
        <w:ind w:right="737" w:hanging="283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На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підставі аналізу спеціальної наукової літератури з даної проблеми надати етіологію, ознаки клінічних форм хронічного гломерулонефриту та основні підходи до його лікування в періоді ремісії перебігу</w:t>
      </w:r>
      <w:r w:rsidRPr="00B96915">
        <w:rPr>
          <w:rFonts w:ascii="Times New Roman" w:eastAsia="Times New Roman" w:hAnsi="Times New Roman" w:cs="Times New Roman"/>
          <w:spacing w:val="-1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хвороби.</w:t>
      </w:r>
    </w:p>
    <w:p w:rsidR="00B96915" w:rsidRPr="00B96915" w:rsidRDefault="00B96915" w:rsidP="00B96915">
      <w:pPr>
        <w:widowControl w:val="0"/>
        <w:numPr>
          <w:ilvl w:val="0"/>
          <w:numId w:val="3"/>
        </w:numPr>
        <w:tabs>
          <w:tab w:val="left" w:pos="749"/>
        </w:tabs>
        <w:autoSpaceDE w:val="0"/>
        <w:autoSpaceDN w:val="0"/>
        <w:spacing w:after="0" w:line="240" w:lineRule="auto"/>
        <w:ind w:right="739" w:hanging="283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 xml:space="preserve">Визначити завдання, механізми лікувальної дії фізіотерапії та лікувальної фізичної культури, показання та протипоказання до їх призначення в умовах санаторно-курортного лікування з урахуванням клінічних форм хронічного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lastRenderedPageBreak/>
        <w:t>гломерулонефриту.</w:t>
      </w:r>
    </w:p>
    <w:p w:rsidR="00B96915" w:rsidRPr="00B96915" w:rsidRDefault="00B96915" w:rsidP="00B96915">
      <w:pPr>
        <w:widowControl w:val="0"/>
        <w:tabs>
          <w:tab w:val="left" w:pos="1463"/>
          <w:tab w:val="left" w:pos="1799"/>
          <w:tab w:val="left" w:pos="2360"/>
          <w:tab w:val="left" w:pos="2748"/>
          <w:tab w:val="left" w:pos="3141"/>
          <w:tab w:val="left" w:pos="3376"/>
          <w:tab w:val="left" w:pos="3693"/>
          <w:tab w:val="left" w:pos="4182"/>
          <w:tab w:val="left" w:pos="4743"/>
          <w:tab w:val="left" w:pos="4834"/>
          <w:tab w:val="left" w:pos="4907"/>
          <w:tab w:val="left" w:pos="5727"/>
          <w:tab w:val="left" w:pos="5759"/>
          <w:tab w:val="left" w:pos="6665"/>
          <w:tab w:val="left" w:pos="7219"/>
          <w:tab w:val="left" w:pos="7269"/>
          <w:tab w:val="left" w:pos="7783"/>
          <w:tab w:val="left" w:pos="8147"/>
          <w:tab w:val="left" w:pos="8296"/>
          <w:tab w:val="left" w:pos="9602"/>
          <w:tab w:val="left" w:pos="9898"/>
        </w:tabs>
        <w:autoSpaceDE w:val="0"/>
        <w:autoSpaceDN w:val="0"/>
        <w:spacing w:after="0" w:line="240" w:lineRule="auto"/>
        <w:ind w:left="393" w:right="732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>Результати дослідження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. Відомо, що нефрити — це</w:t>
      </w:r>
      <w:r w:rsidRPr="00B96915">
        <w:rPr>
          <w:rFonts w:ascii="Times New Roman" w:eastAsia="Times New Roman" w:hAnsi="Times New Roman" w:cs="Times New Roman"/>
          <w:spacing w:val="3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група</w:t>
      </w:r>
      <w:r w:rsidRPr="00B96915">
        <w:rPr>
          <w:rFonts w:ascii="Times New Roman" w:eastAsia="Times New Roman" w:hAnsi="Times New Roman" w:cs="Times New Roman"/>
          <w:spacing w:val="2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захворювань</w:t>
      </w:r>
      <w:r w:rsidRPr="00B9691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нирок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запального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характера,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серед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яких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bidi="en-US"/>
        </w:rPr>
        <w:t>найбільш</w:t>
      </w:r>
      <w:r w:rsidRPr="00B9691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поширеним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sz w:val="28"/>
          <w:szCs w:val="28"/>
          <w:lang w:bidi="en-US"/>
        </w:rPr>
        <w:t>є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гломерулонефрит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bidi="en-US"/>
        </w:rPr>
        <w:t>[1].</w:t>
      </w:r>
      <w:r w:rsidRPr="00B9691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Хронічний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гломерулонефрит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—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це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sz w:val="28"/>
          <w:szCs w:val="28"/>
          <w:lang w:bidi="en-US"/>
        </w:rPr>
        <w:t xml:space="preserve">імунозапальне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захворювання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нирок</w:t>
      </w:r>
      <w:r w:rsidRPr="00B96915">
        <w:rPr>
          <w:rFonts w:ascii="Times New Roman" w:eastAsia="Times New Roman" w:hAnsi="Times New Roman" w:cs="Times New Roman"/>
          <w:spacing w:val="1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первинним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ураженням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ниркових</w:t>
      </w:r>
      <w:r w:rsidRPr="00B96915">
        <w:rPr>
          <w:rFonts w:ascii="Times New Roman" w:eastAsia="Times New Roman" w:hAnsi="Times New Roman" w:cs="Times New Roman"/>
          <w:spacing w:val="1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клубочків,</w:t>
      </w:r>
      <w:r w:rsidRPr="00B96915">
        <w:rPr>
          <w:rFonts w:ascii="Times New Roman" w:eastAsia="Times New Roman" w:hAnsi="Times New Roman" w:cs="Times New Roman"/>
          <w:spacing w:val="1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поступово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прогресуючим</w:t>
      </w:r>
      <w:r w:rsidRPr="00B96915">
        <w:rPr>
          <w:rFonts w:ascii="Times New Roman" w:eastAsia="Times New Roman" w:hAnsi="Times New Roman" w:cs="Times New Roman"/>
          <w:spacing w:val="1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процесом</w:t>
      </w:r>
      <w:r w:rsidRPr="00B96915">
        <w:rPr>
          <w:rFonts w:ascii="Times New Roman" w:eastAsia="Times New Roman" w:hAnsi="Times New Roman" w:cs="Times New Roman"/>
          <w:spacing w:val="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і</w:t>
      </w:r>
      <w:r w:rsidRPr="00B96915">
        <w:rPr>
          <w:rFonts w:ascii="Times New Roman" w:eastAsia="Times New Roman" w:hAnsi="Times New Roman" w:cs="Times New Roman"/>
          <w:spacing w:val="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переходом</w:t>
      </w:r>
      <w:r w:rsidRPr="00B96915">
        <w:rPr>
          <w:rFonts w:ascii="Times New Roman" w:eastAsia="Times New Roman" w:hAnsi="Times New Roman" w:cs="Times New Roman"/>
          <w:spacing w:val="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</w:t>
      </w:r>
      <w:r w:rsidRPr="00B96915">
        <w:rPr>
          <w:rFonts w:ascii="Times New Roman" w:eastAsia="Times New Roman" w:hAnsi="Times New Roman" w:cs="Times New Roman"/>
          <w:spacing w:val="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хронічну</w:t>
      </w:r>
      <w:r w:rsidRPr="00B96915">
        <w:rPr>
          <w:rFonts w:ascii="Times New Roman" w:eastAsia="Times New Roman" w:hAnsi="Times New Roman" w:cs="Times New Roman"/>
          <w:spacing w:val="1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ниркову</w:t>
      </w:r>
      <w:r w:rsidRPr="00B96915">
        <w:rPr>
          <w:rFonts w:ascii="Times New Roman" w:eastAsia="Times New Roman" w:hAnsi="Times New Roman" w:cs="Times New Roman"/>
          <w:spacing w:val="1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недостатність</w:t>
      </w:r>
      <w:r w:rsidRPr="00B96915">
        <w:rPr>
          <w:rFonts w:ascii="Times New Roman" w:eastAsia="Times New Roman" w:hAnsi="Times New Roman" w:cs="Times New Roman"/>
          <w:spacing w:val="1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[11].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більшості випадків на гломерулонефрит хворіють молоді люди до 40</w:t>
      </w:r>
      <w:r w:rsidRPr="00B96915">
        <w:rPr>
          <w:rFonts w:ascii="Times New Roman" w:eastAsia="Times New Roman" w:hAnsi="Times New Roman" w:cs="Times New Roman"/>
          <w:spacing w:val="-3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років</w:t>
      </w:r>
      <w:r w:rsidRPr="00B96915">
        <w:rPr>
          <w:rFonts w:ascii="Times New Roman" w:eastAsia="Times New Roman" w:hAnsi="Times New Roman" w:cs="Times New Roman"/>
          <w:spacing w:val="-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[11].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Згідно досліджень деяких авторів [8, 11], хронічний</w:t>
      </w:r>
      <w:r w:rsidRPr="00B96915">
        <w:rPr>
          <w:rFonts w:ascii="Times New Roman" w:eastAsia="Times New Roman" w:hAnsi="Times New Roman" w:cs="Times New Roman"/>
          <w:spacing w:val="3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гломерулонефрит</w:t>
      </w:r>
      <w:r w:rsidRPr="00B96915">
        <w:rPr>
          <w:rFonts w:ascii="Times New Roman" w:eastAsia="Times New Roman" w:hAnsi="Times New Roman" w:cs="Times New Roman"/>
          <w:spacing w:val="3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є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наслідком гострого нефриту на фоні зміни реактивності</w:t>
      </w:r>
      <w:r w:rsidRPr="00B96915">
        <w:rPr>
          <w:rFonts w:ascii="Times New Roman" w:eastAsia="Times New Roman" w:hAnsi="Times New Roman" w:cs="Times New Roman"/>
          <w:spacing w:val="6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імунної</w:t>
      </w:r>
      <w:r w:rsidRPr="00B96915">
        <w:rPr>
          <w:rFonts w:ascii="Times New Roman" w:eastAsia="Times New Roman" w:hAnsi="Times New Roman" w:cs="Times New Roman"/>
          <w:spacing w:val="2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системи.</w:t>
      </w:r>
      <w:r w:rsidRPr="00B9691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Факторами,</w:t>
      </w:r>
      <w:r w:rsidRPr="00B96915">
        <w:rPr>
          <w:rFonts w:ascii="Times New Roman" w:eastAsia="Times New Roman" w:hAnsi="Times New Roman" w:cs="Times New Roman"/>
          <w:spacing w:val="2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які</w:t>
      </w:r>
      <w:r w:rsidRPr="00B96915">
        <w:rPr>
          <w:rFonts w:ascii="Times New Roman" w:eastAsia="Times New Roman" w:hAnsi="Times New Roman" w:cs="Times New Roman"/>
          <w:spacing w:val="2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сприяють</w:t>
      </w:r>
      <w:r w:rsidRPr="00B96915">
        <w:rPr>
          <w:rFonts w:ascii="Times New Roman" w:eastAsia="Times New Roman" w:hAnsi="Times New Roman" w:cs="Times New Roman"/>
          <w:spacing w:val="2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хронізації</w:t>
      </w:r>
      <w:r w:rsidRPr="00B96915">
        <w:rPr>
          <w:rFonts w:ascii="Times New Roman" w:eastAsia="Times New Roman" w:hAnsi="Times New Roman" w:cs="Times New Roman"/>
          <w:spacing w:val="2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гострого</w:t>
      </w:r>
      <w:r w:rsidRPr="00B96915">
        <w:rPr>
          <w:rFonts w:ascii="Times New Roman" w:eastAsia="Times New Roman" w:hAnsi="Times New Roman" w:cs="Times New Roman"/>
          <w:spacing w:val="2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нефриту,</w:t>
      </w:r>
      <w:r w:rsidRPr="00B96915">
        <w:rPr>
          <w:rFonts w:ascii="Times New Roman" w:eastAsia="Times New Roman" w:hAnsi="Times New Roman" w:cs="Times New Roman"/>
          <w:spacing w:val="2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можуть</w:t>
      </w:r>
      <w:r w:rsidRPr="00B96915">
        <w:rPr>
          <w:rFonts w:ascii="Times New Roman" w:eastAsia="Times New Roman" w:hAnsi="Times New Roman" w:cs="Times New Roman"/>
          <w:spacing w:val="2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бути,</w:t>
      </w:r>
      <w:r w:rsidRPr="00B96915">
        <w:rPr>
          <w:rFonts w:ascii="Times New Roman" w:eastAsia="Times New Roman" w:hAnsi="Times New Roman" w:cs="Times New Roman"/>
          <w:spacing w:val="2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</w:t>
      </w:r>
      <w:r w:rsidRPr="00B96915">
        <w:rPr>
          <w:rFonts w:ascii="Times New Roman" w:eastAsia="Times New Roman" w:hAnsi="Times New Roman" w:cs="Times New Roman"/>
          <w:spacing w:val="2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думку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цих авторів, наявність вогнища інфекції в організмі, тривала</w:t>
      </w:r>
      <w:r w:rsidRPr="00B96915">
        <w:rPr>
          <w:rFonts w:ascii="Times New Roman" w:eastAsia="Times New Roman" w:hAnsi="Times New Roman" w:cs="Times New Roman"/>
          <w:spacing w:val="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дія</w:t>
      </w:r>
      <w:r w:rsidRPr="00B96915">
        <w:rPr>
          <w:rFonts w:ascii="Times New Roman" w:eastAsia="Times New Roman" w:hAnsi="Times New Roman" w:cs="Times New Roman"/>
          <w:spacing w:val="2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хімічних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агентів, переохолодження, зловживання підробними спиртними напоями</w:t>
      </w:r>
      <w:r w:rsidRPr="00B96915">
        <w:rPr>
          <w:rFonts w:ascii="Times New Roman" w:eastAsia="Times New Roman" w:hAnsi="Times New Roman" w:cs="Times New Roman"/>
          <w:spacing w:val="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та</w:t>
      </w:r>
      <w:r w:rsidRPr="00B96915">
        <w:rPr>
          <w:rFonts w:ascii="Times New Roman" w:eastAsia="Times New Roman" w:hAnsi="Times New Roman" w:cs="Times New Roman"/>
          <w:spacing w:val="2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дія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інших несприятливих факторів. Як стверджують Середюк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Н.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М., Вакалюк</w:t>
      </w:r>
      <w:r w:rsidRPr="00B96915">
        <w:rPr>
          <w:rFonts w:ascii="Times New Roman" w:eastAsia="Times New Roman" w:hAnsi="Times New Roman" w:cs="Times New Roman"/>
          <w:spacing w:val="5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І.</w:t>
      </w:r>
      <w:r w:rsidRPr="00B96915">
        <w:rPr>
          <w:rFonts w:ascii="Times New Roman" w:eastAsia="Times New Roman" w:hAnsi="Times New Roman" w:cs="Times New Roman"/>
          <w:spacing w:val="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П.,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Барила</w:t>
      </w:r>
      <w:r w:rsidRPr="00B96915">
        <w:rPr>
          <w:rFonts w:ascii="Times New Roman" w:eastAsia="Times New Roman" w:hAnsi="Times New Roman" w:cs="Times New Roman"/>
          <w:spacing w:val="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Г.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Г.,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Янимчук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Р.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М.,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2007,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хронічний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гломерулонефрит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w w:val="95"/>
          <w:sz w:val="28"/>
          <w:szCs w:val="28"/>
          <w:lang w:bidi="en-US"/>
        </w:rPr>
        <w:t xml:space="preserve">має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хвилеподібний характер, з періодами загострення та ремісії [11]. Ці</w:t>
      </w:r>
      <w:r w:rsidRPr="00B96915">
        <w:rPr>
          <w:rFonts w:ascii="Times New Roman" w:eastAsia="Times New Roman" w:hAnsi="Times New Roman" w:cs="Times New Roman"/>
          <w:spacing w:val="5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автори</w:t>
      </w:r>
    </w:p>
    <w:p w:rsidR="00B96915" w:rsidRPr="00B96915" w:rsidRDefault="00B96915" w:rsidP="00B96915">
      <w:pPr>
        <w:widowControl w:val="0"/>
        <w:autoSpaceDE w:val="0"/>
        <w:autoSpaceDN w:val="0"/>
        <w:spacing w:before="67" w:after="0" w:line="240" w:lineRule="auto"/>
        <w:ind w:left="393" w:right="735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виділяють сечовий варіант перебігу хвороби (або клінічну форму), нефропатичний варіант (форму) та змішаний. І при цих клінічних варіантах перебігу хвороби вони розрізняють дві стадії хвороби — догіпертензивну та гіпертензивну.</w:t>
      </w:r>
    </w:p>
    <w:p w:rsidR="00B96915" w:rsidRPr="00B96915" w:rsidRDefault="00B96915" w:rsidP="00B96915">
      <w:pPr>
        <w:widowControl w:val="0"/>
        <w:autoSpaceDE w:val="0"/>
        <w:autoSpaceDN w:val="0"/>
        <w:spacing w:before="4" w:after="0" w:line="240" w:lineRule="auto"/>
        <w:ind w:left="393" w:right="733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У догіпертензивну стадію, як правило, хворі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із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сечовим варіантом скарг не пред’являють, лише у сечі виявляють протеінурію, циліндрурію та еритроцитурію, а у хворих з нефротичним варіантом у цій стадії діагностують масивну протеінурію, гіперхолестеринемію та масивні набряки на нижніх кінцівках, поперековій ділянці, грудній клітці,</w:t>
      </w:r>
      <w:r w:rsidRPr="00B96915">
        <w:rPr>
          <w:rFonts w:ascii="Times New Roman" w:eastAsia="Times New Roman" w:hAnsi="Times New Roman" w:cs="Times New Roman"/>
          <w:spacing w:val="1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обличчі.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9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 гіпертензивну стадію хвороби при всіх варіантах (клінічних формах) провідним клінічним симптомом є підвищення артеріального тиску, що поступово прогресує, і з’являються скарги на головний біль, запаморочення, зниження гостроти зору, біль у ділянці серця [11]. Відомий терапевт Романова Е. А., 2005, за клінічними проявами хвороби розрізняє нефротичну, гіпертонічну та гематурічну форми (варіанти) хронічного гломерулонефриту з періодами загострення та ремісії</w:t>
      </w:r>
      <w:r w:rsidRPr="00B96915">
        <w:rPr>
          <w:rFonts w:ascii="Times New Roman" w:eastAsia="Times New Roman" w:hAnsi="Times New Roman" w:cs="Times New Roman"/>
          <w:spacing w:val="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[8].</w:t>
      </w:r>
    </w:p>
    <w:p w:rsidR="00B96915" w:rsidRPr="00B96915" w:rsidRDefault="00B96915" w:rsidP="00B96915">
      <w:pPr>
        <w:widowControl w:val="0"/>
        <w:tabs>
          <w:tab w:val="left" w:pos="2417"/>
          <w:tab w:val="left" w:pos="2916"/>
          <w:tab w:val="left" w:pos="3032"/>
          <w:tab w:val="left" w:pos="3487"/>
          <w:tab w:val="left" w:pos="4341"/>
          <w:tab w:val="left" w:pos="4461"/>
          <w:tab w:val="left" w:pos="5472"/>
          <w:tab w:val="left" w:pos="5545"/>
          <w:tab w:val="left" w:pos="5837"/>
          <w:tab w:val="left" w:pos="6063"/>
          <w:tab w:val="left" w:pos="6681"/>
          <w:tab w:val="left" w:pos="7156"/>
          <w:tab w:val="left" w:pos="7541"/>
          <w:tab w:val="left" w:pos="8436"/>
          <w:tab w:val="left" w:pos="9910"/>
        </w:tabs>
        <w:autoSpaceDE w:val="0"/>
        <w:autoSpaceDN w:val="0"/>
        <w:spacing w:after="0" w:line="240" w:lineRule="auto"/>
        <w:ind w:left="393" w:right="732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Шабалов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Н.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П.,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2006,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виділяв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у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дітей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та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підлітків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bidi="en-US"/>
        </w:rPr>
        <w:t xml:space="preserve">гематуричну,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нефротичну та змішані форми перебігу хвороби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із</w:t>
      </w:r>
      <w:r w:rsidRPr="00B96915">
        <w:rPr>
          <w:rFonts w:ascii="Times New Roman" w:eastAsia="Times New Roman" w:hAnsi="Times New Roman" w:cs="Times New Roman"/>
          <w:spacing w:val="2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класичними</w:t>
      </w:r>
      <w:r w:rsidRPr="00B96915">
        <w:rPr>
          <w:rFonts w:ascii="Times New Roman" w:eastAsia="Times New Roman" w:hAnsi="Times New Roman" w:cs="Times New Roman"/>
          <w:spacing w:val="1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клінічними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проявами</w:t>
      </w:r>
      <w:r w:rsidRPr="00B96915">
        <w:rPr>
          <w:rFonts w:ascii="Times New Roman" w:eastAsia="Times New Roman" w:hAnsi="Times New Roman" w:cs="Times New Roman"/>
          <w:spacing w:val="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[16].</w:t>
      </w:r>
      <w:r w:rsidRPr="00B96915">
        <w:rPr>
          <w:rFonts w:ascii="Times New Roman" w:eastAsia="Times New Roman" w:hAnsi="Times New Roman" w:cs="Times New Roman"/>
          <w:spacing w:val="1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Свиницький</w:t>
      </w:r>
      <w:r w:rsidRPr="00B96915">
        <w:rPr>
          <w:rFonts w:ascii="Times New Roman" w:eastAsia="Times New Roman" w:hAnsi="Times New Roman" w:cs="Times New Roman"/>
          <w:spacing w:val="1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А.</w:t>
      </w:r>
      <w:r w:rsidRPr="00B96915">
        <w:rPr>
          <w:rFonts w:ascii="Times New Roman" w:eastAsia="Times New Roman" w:hAnsi="Times New Roman" w:cs="Times New Roman"/>
          <w:spacing w:val="1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С.</w:t>
      </w:r>
      <w:r w:rsidRPr="00B96915">
        <w:rPr>
          <w:rFonts w:ascii="Times New Roman" w:eastAsia="Times New Roman" w:hAnsi="Times New Roman" w:cs="Times New Roman"/>
          <w:spacing w:val="1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та</w:t>
      </w:r>
      <w:r w:rsidRPr="00B96915">
        <w:rPr>
          <w:rFonts w:ascii="Times New Roman" w:eastAsia="Times New Roman" w:hAnsi="Times New Roman" w:cs="Times New Roman"/>
          <w:spacing w:val="1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Пелещук</w:t>
      </w:r>
      <w:r w:rsidRPr="00B96915">
        <w:rPr>
          <w:rFonts w:ascii="Times New Roman" w:eastAsia="Times New Roman" w:hAnsi="Times New Roman" w:cs="Times New Roman"/>
          <w:spacing w:val="1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>Н.</w:t>
      </w:r>
      <w:r w:rsidRPr="00B96915">
        <w:rPr>
          <w:rFonts w:ascii="Times New Roman" w:eastAsia="Times New Roman" w:hAnsi="Times New Roman" w:cs="Times New Roman"/>
          <w:spacing w:val="1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П.,</w:t>
      </w:r>
      <w:r w:rsidRPr="00B96915">
        <w:rPr>
          <w:rFonts w:ascii="Times New Roman" w:eastAsia="Times New Roman" w:hAnsi="Times New Roman" w:cs="Times New Roman"/>
          <w:spacing w:val="1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2014,</w:t>
      </w:r>
      <w:r w:rsidRPr="00B96915">
        <w:rPr>
          <w:rFonts w:ascii="Times New Roman" w:eastAsia="Times New Roman" w:hAnsi="Times New Roman" w:cs="Times New Roman"/>
          <w:spacing w:val="1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розглядають</w:t>
      </w:r>
      <w:r w:rsidRPr="00B96915">
        <w:rPr>
          <w:rFonts w:ascii="Times New Roman" w:eastAsia="Times New Roman" w:hAnsi="Times New Roman" w:cs="Times New Roman"/>
          <w:spacing w:val="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клінічні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ознаки латентної форми (сечового синдрому),</w:t>
      </w:r>
      <w:r w:rsidRPr="00B96915">
        <w:rPr>
          <w:rFonts w:ascii="Times New Roman" w:eastAsia="Times New Roman" w:hAnsi="Times New Roman" w:cs="Times New Roman"/>
          <w:spacing w:val="5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нефротичного, гематуричного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синдромів хронічного гломерулонефриту з періодами загострення та</w:t>
      </w:r>
      <w:r w:rsidRPr="00B96915">
        <w:rPr>
          <w:rFonts w:ascii="Times New Roman" w:eastAsia="Times New Roman" w:hAnsi="Times New Roman" w:cs="Times New Roman"/>
          <w:spacing w:val="-3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ремісії</w:t>
      </w:r>
      <w:r w:rsidRPr="00B96915">
        <w:rPr>
          <w:rFonts w:ascii="Times New Roman" w:eastAsia="Times New Roman" w:hAnsi="Times New Roman" w:cs="Times New Roman"/>
          <w:spacing w:val="-1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[1].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 періоді ремісії перебігу хронічного гломерулонефриту</w:t>
      </w:r>
      <w:r w:rsidRPr="00B96915">
        <w:rPr>
          <w:rFonts w:ascii="Times New Roman" w:eastAsia="Times New Roman" w:hAnsi="Times New Roman" w:cs="Times New Roman"/>
          <w:spacing w:val="-1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більшості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хворих відсутні значні скарги, знижується або</w:t>
      </w:r>
      <w:r w:rsidRPr="00B96915">
        <w:rPr>
          <w:rFonts w:ascii="Times New Roman" w:eastAsia="Times New Roman" w:hAnsi="Times New Roman" w:cs="Times New Roman"/>
          <w:spacing w:val="1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нормалізується</w:t>
      </w:r>
      <w:r w:rsidRPr="00B96915">
        <w:rPr>
          <w:rFonts w:ascii="Times New Roman" w:eastAsia="Times New Roman" w:hAnsi="Times New Roman" w:cs="Times New Roman"/>
          <w:spacing w:val="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артеріальний</w:t>
      </w:r>
      <w:r w:rsidRPr="00B9691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тиск, діагностуються мінімальні біохімічні зміни у сечі та сироватці</w:t>
      </w:r>
      <w:r w:rsidRPr="00B96915">
        <w:rPr>
          <w:rFonts w:ascii="Times New Roman" w:eastAsia="Times New Roman" w:hAnsi="Times New Roman" w:cs="Times New Roman"/>
          <w:spacing w:val="-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крові,</w:t>
      </w:r>
      <w:r w:rsidRPr="00B96915">
        <w:rPr>
          <w:rFonts w:ascii="Times New Roman" w:eastAsia="Times New Roman" w:hAnsi="Times New Roman" w:cs="Times New Roman"/>
          <w:spacing w:val="2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що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дозволяє скеровувати деяких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із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них на санаторно-курортне</w:t>
      </w:r>
      <w:r w:rsidRPr="00B96915">
        <w:rPr>
          <w:rFonts w:ascii="Times New Roman" w:eastAsia="Times New Roman" w:hAnsi="Times New Roman" w:cs="Times New Roman"/>
          <w:spacing w:val="4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лікування</w:t>
      </w:r>
      <w:r w:rsidRPr="00B96915">
        <w:rPr>
          <w:rFonts w:ascii="Times New Roman" w:eastAsia="Times New Roman" w:hAnsi="Times New Roman" w:cs="Times New Roman"/>
          <w:spacing w:val="3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[8].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Середюк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Н.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М. зі співавторами, 2007, вважають доцільним</w:t>
      </w:r>
      <w:r w:rsidRPr="00B96915">
        <w:rPr>
          <w:rFonts w:ascii="Times New Roman" w:eastAsia="Times New Roman" w:hAnsi="Times New Roman" w:cs="Times New Roman"/>
          <w:spacing w:val="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направляти</w:t>
      </w:r>
      <w:r w:rsidRPr="00B96915">
        <w:rPr>
          <w:rFonts w:ascii="Times New Roman" w:eastAsia="Times New Roman" w:hAnsi="Times New Roman" w:cs="Times New Roman"/>
          <w:spacing w:val="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</w:t>
      </w:r>
      <w:r w:rsidRPr="00B9691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санаторно-курортне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лікування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хворих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на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хронічний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гломерулонефрит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sz w:val="28"/>
          <w:szCs w:val="28"/>
          <w:lang w:bidi="en-US"/>
        </w:rPr>
        <w:t>з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нефротичним,</w:t>
      </w:r>
      <w:r w:rsidRPr="00B96915">
        <w:rPr>
          <w:rFonts w:ascii="Times New Roman" w:eastAsia="Times New Roman" w:hAnsi="Times New Roman" w:cs="Times New Roman"/>
          <w:spacing w:val="2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гіпертонічним</w:t>
      </w:r>
      <w:r w:rsidRPr="00B96915">
        <w:rPr>
          <w:rFonts w:ascii="Times New Roman" w:eastAsia="Times New Roman" w:hAnsi="Times New Roman" w:cs="Times New Roman"/>
          <w:spacing w:val="2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(якщо</w:t>
      </w:r>
      <w:r w:rsidRPr="00B96915">
        <w:rPr>
          <w:rFonts w:ascii="Times New Roman" w:eastAsia="Times New Roman" w:hAnsi="Times New Roman" w:cs="Times New Roman"/>
          <w:spacing w:val="2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артеріальний</w:t>
      </w:r>
      <w:r w:rsidRPr="00B96915">
        <w:rPr>
          <w:rFonts w:ascii="Times New Roman" w:eastAsia="Times New Roman" w:hAnsi="Times New Roman" w:cs="Times New Roman"/>
          <w:spacing w:val="2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тиск</w:t>
      </w:r>
      <w:r w:rsidRPr="00B96915">
        <w:rPr>
          <w:rFonts w:ascii="Times New Roman" w:eastAsia="Times New Roman" w:hAnsi="Times New Roman" w:cs="Times New Roman"/>
          <w:spacing w:val="2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не</w:t>
      </w:r>
      <w:r w:rsidRPr="00B96915">
        <w:rPr>
          <w:rFonts w:ascii="Times New Roman" w:eastAsia="Times New Roman" w:hAnsi="Times New Roman" w:cs="Times New Roman"/>
          <w:spacing w:val="2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вище</w:t>
      </w:r>
      <w:r w:rsidRPr="00B96915">
        <w:rPr>
          <w:rFonts w:ascii="Times New Roman" w:eastAsia="Times New Roman" w:hAnsi="Times New Roman" w:cs="Times New Roman"/>
          <w:spacing w:val="2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180/105</w:t>
      </w:r>
      <w:r w:rsidRPr="00B96915">
        <w:rPr>
          <w:rFonts w:ascii="Times New Roman" w:eastAsia="Times New Roman" w:hAnsi="Times New Roman" w:cs="Times New Roman"/>
          <w:spacing w:val="2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мм</w:t>
      </w:r>
      <w:r w:rsidRPr="00B96915">
        <w:rPr>
          <w:rFonts w:ascii="Times New Roman" w:eastAsia="Times New Roman" w:hAnsi="Times New Roman" w:cs="Times New Roman"/>
          <w:spacing w:val="2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рт.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ст.), сечовим варіантами і в початковій стадії</w:t>
      </w:r>
      <w:r w:rsidRPr="00B96915">
        <w:rPr>
          <w:rFonts w:ascii="Times New Roman" w:eastAsia="Times New Roman" w:hAnsi="Times New Roman" w:cs="Times New Roman"/>
          <w:spacing w:val="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хронічної ниркової</w:t>
      </w:r>
      <w:r w:rsidRPr="00B96915">
        <w:rPr>
          <w:rFonts w:ascii="Times New Roman" w:eastAsia="Times New Roman" w:hAnsi="Times New Roman" w:cs="Times New Roman"/>
          <w:spacing w:val="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недостатності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[11]. Абсолютним протипоказанням до скерування на</w:t>
      </w:r>
      <w:r w:rsidRPr="00B96915">
        <w:rPr>
          <w:rFonts w:ascii="Times New Roman" w:eastAsia="Times New Roman" w:hAnsi="Times New Roman" w:cs="Times New Roman"/>
          <w:spacing w:val="4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санаторне</w:t>
      </w:r>
      <w:r w:rsidRPr="00B96915">
        <w:rPr>
          <w:rFonts w:ascii="Times New Roman" w:eastAsia="Times New Roman" w:hAnsi="Times New Roman" w:cs="Times New Roman"/>
          <w:spacing w:val="1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лікування</w:t>
      </w:r>
      <w:r w:rsidRPr="00B9691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Федорів Я.-Р. М., 2004, вважає період загострення хвороби</w:t>
      </w:r>
      <w:r w:rsidRPr="00B96915">
        <w:rPr>
          <w:rFonts w:ascii="Times New Roman" w:eastAsia="Times New Roman" w:hAnsi="Times New Roman" w:cs="Times New Roman"/>
          <w:spacing w:val="6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та</w:t>
      </w:r>
      <w:r w:rsidRPr="00B96915">
        <w:rPr>
          <w:rFonts w:ascii="Times New Roman" w:eastAsia="Times New Roman" w:hAnsi="Times New Roman" w:cs="Times New Roman"/>
          <w:spacing w:val="6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гіпертонічну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форму</w:t>
      </w:r>
      <w:r w:rsidRPr="00B96915">
        <w:rPr>
          <w:rFonts w:ascii="Times New Roman" w:eastAsia="Times New Roman" w:hAnsi="Times New Roman" w:cs="Times New Roman"/>
          <w:spacing w:val="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гломерулонефриту,</w:t>
      </w:r>
      <w:r w:rsidRPr="00B96915">
        <w:rPr>
          <w:rFonts w:ascii="Times New Roman" w:eastAsia="Times New Roman" w:hAnsi="Times New Roman" w:cs="Times New Roman"/>
          <w:spacing w:val="1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якщо</w:t>
      </w:r>
      <w:r w:rsidRPr="00B96915">
        <w:rPr>
          <w:rFonts w:ascii="Times New Roman" w:eastAsia="Times New Roman" w:hAnsi="Times New Roman" w:cs="Times New Roman"/>
          <w:spacing w:val="1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артеріальний</w:t>
      </w:r>
      <w:r w:rsidRPr="00B96915">
        <w:rPr>
          <w:rFonts w:ascii="Times New Roman" w:eastAsia="Times New Roman" w:hAnsi="Times New Roman" w:cs="Times New Roman"/>
          <w:spacing w:val="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тиск</w:t>
      </w:r>
      <w:r w:rsidRPr="00B96915">
        <w:rPr>
          <w:rFonts w:ascii="Times New Roman" w:eastAsia="Times New Roman" w:hAnsi="Times New Roman" w:cs="Times New Roman"/>
          <w:spacing w:val="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вище</w:t>
      </w:r>
      <w:r w:rsidRPr="00B96915">
        <w:rPr>
          <w:rFonts w:ascii="Times New Roman" w:eastAsia="Times New Roman" w:hAnsi="Times New Roman" w:cs="Times New Roman"/>
          <w:spacing w:val="1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180/105</w:t>
      </w:r>
      <w:r w:rsidRPr="00B96915">
        <w:rPr>
          <w:rFonts w:ascii="Times New Roman" w:eastAsia="Times New Roman" w:hAnsi="Times New Roman" w:cs="Times New Roman"/>
          <w:spacing w:val="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мм</w:t>
      </w:r>
      <w:r w:rsidRPr="00B96915">
        <w:rPr>
          <w:rFonts w:ascii="Times New Roman" w:eastAsia="Times New Roman" w:hAnsi="Times New Roman" w:cs="Times New Roman"/>
          <w:spacing w:val="1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рт.</w:t>
      </w:r>
      <w:r w:rsidRPr="00B96915">
        <w:rPr>
          <w:rFonts w:ascii="Times New Roman" w:eastAsia="Times New Roman" w:hAnsi="Times New Roman" w:cs="Times New Roman"/>
          <w:spacing w:val="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ст.</w:t>
      </w:r>
      <w:r w:rsidRPr="00B96915">
        <w:rPr>
          <w:rFonts w:ascii="Times New Roman" w:eastAsia="Times New Roman" w:hAnsi="Times New Roman" w:cs="Times New Roman"/>
          <w:spacing w:val="1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та</w:t>
      </w:r>
      <w:r w:rsidRPr="00B96915">
        <w:rPr>
          <w:rFonts w:ascii="Times New Roman" w:eastAsia="Times New Roman" w:hAnsi="Times New Roman" w:cs="Times New Roman"/>
          <w:spacing w:val="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</w:t>
      </w:r>
    </w:p>
    <w:p w:rsidR="00B96915" w:rsidRPr="00B96915" w:rsidRDefault="00B96915" w:rsidP="00B96915">
      <w:pPr>
        <w:widowControl w:val="0"/>
        <w:autoSpaceDE w:val="0"/>
        <w:autoSpaceDN w:val="0"/>
        <w:spacing w:before="2" w:after="0" w:line="322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наявністю кардіоваскулярних синдромів [13,</w:t>
      </w:r>
      <w:r w:rsidRPr="00B96915">
        <w:rPr>
          <w:rFonts w:ascii="Times New Roman" w:eastAsia="Times New Roman" w:hAnsi="Times New Roman" w:cs="Times New Roman"/>
          <w:spacing w:val="-2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14].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29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Свиницький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А.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С. та Пелещук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А.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П., 2010, стверджують, що одним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із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протипоказань до санаторно-курортного лікування є наявність у хворої людини нефротичної форми хвороби з явищами загальної дистрофії, довготривалими значними набряками, високим артеріальним тиском (вище 180/105 мм рт. ст.), вираженою серцево-судинною недостатністю та порушеннями мозкового кровообігу [1]. Таким чином, при скеруванні хворої людини на санаторно- курортне лікування слід враховувати не тільки клінічну форму, стадію  та період хвороби, але й індивідуальні особливості функціонального стану систем організму і наявність або відсутність</w:t>
      </w:r>
      <w:r w:rsidRPr="00B96915">
        <w:rPr>
          <w:rFonts w:ascii="Times New Roman" w:eastAsia="Times New Roman" w:hAnsi="Times New Roman" w:cs="Times New Roman"/>
          <w:spacing w:val="-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ускладнень.</w:t>
      </w:r>
    </w:p>
    <w:p w:rsidR="00B96915" w:rsidRPr="00B96915" w:rsidRDefault="00B96915" w:rsidP="00B96915">
      <w:pPr>
        <w:widowControl w:val="0"/>
        <w:autoSpaceDE w:val="0"/>
        <w:autoSpaceDN w:val="0"/>
        <w:spacing w:before="2" w:after="0" w:line="240" w:lineRule="auto"/>
        <w:ind w:left="393" w:right="745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 спеціалізованих санаторіях нефрологічного профілю з сухим, теплим, жарким кліматом (південний берег Криму, Одеська група курортів, Бердянськ,</w:t>
      </w:r>
    </w:p>
    <w:p w:rsidR="00B96915" w:rsidRPr="00B96915" w:rsidRDefault="00B96915" w:rsidP="00B96915">
      <w:pPr>
        <w:widowControl w:val="0"/>
        <w:autoSpaceDE w:val="0"/>
        <w:autoSpaceDN w:val="0"/>
        <w:spacing w:before="67" w:after="0" w:line="240" w:lineRule="auto"/>
        <w:ind w:left="393" w:right="741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Кирилівка, Приморськ, Скадовськ, Очаків та інші південної частини України) кліматотерапія, преформовані фізичні чинники, лікувальна фізична культура, дієтотерапія складають невід’ємну частину курсу відновного лікування [2, 13]. Ці кліматичні зони характеризуються високою температурою і низькою вологістю повітря, високою інсоляцією та відсутністю вітру в теплу пору року.</w:t>
      </w:r>
    </w:p>
    <w:p w:rsidR="00B96915" w:rsidRPr="00B96915" w:rsidRDefault="00B96915" w:rsidP="00B96915">
      <w:pPr>
        <w:widowControl w:val="0"/>
        <w:autoSpaceDE w:val="0"/>
        <w:autoSpaceDN w:val="0"/>
        <w:spacing w:before="4" w:after="0" w:line="240" w:lineRule="auto"/>
        <w:ind w:left="393" w:right="730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Основними лікувальними засобами кліматотерапії, які можливо, на думку більшості терапевтів [4, 9], фізіотерапевтів [7, 10, 13], реабілітологів [2, 3, 5], призначати хворим з сечовим синдромом, нефротичною формою хронічного гломерулонефриту, є аеротерапія, геліотерапія та талосотерапія. Із методів аеротерапії використовують перебування, включаючи сон, на відкритих верандах, балконах, у спеціальних кліматопавільонах, у кімнатах при відкритих вікнах, призначають повітряні ванни слабкого холодового навантаження з метою загартування організму [15].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6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При геліотерапії сонячне випромінювання є потужним засобом лікування хворих на хронічний гломерулонефрит при відсутності явищ вираженої гіпертензії і недостатності нирок [15].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0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Талосотерапія — морські купелі є специфічним та найдієвішим методом кліматобальнеологічного впливу на організм хворих, який пов'язаний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із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впливом комплексу термічних, механічних і хімічних чинників [15]. Призначаються морські купелі хворим із сечовим синдромом та нефротичною формою при температурі води не нижче ніж </w:t>
      </w:r>
      <w:r w:rsidRPr="00B96915">
        <w:rPr>
          <w:rFonts w:ascii="Times New Roman" w:eastAsia="Times New Roman" w:hAnsi="Times New Roman" w:cs="Times New Roman"/>
          <w:spacing w:val="4"/>
          <w:sz w:val="28"/>
          <w:szCs w:val="28"/>
          <w:lang w:bidi="en-US"/>
        </w:rPr>
        <w:t>24</w:t>
      </w:r>
      <w:r w:rsidRPr="00B96915">
        <w:rPr>
          <w:rFonts w:ascii="Times New Roman" w:eastAsia="Times New Roman" w:hAnsi="Times New Roman" w:cs="Times New Roman"/>
          <w:spacing w:val="4"/>
          <w:position w:val="10"/>
          <w:sz w:val="18"/>
          <w:szCs w:val="28"/>
          <w:lang w:bidi="en-US"/>
        </w:rPr>
        <w:t xml:space="preserve">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 [15]. Федорів Я - Р. М., 2004, висловлює думку, що ефективність кліматолікування можливо посилювати одночасним застосуванням виноградолікування і фруктовою дієтою</w:t>
      </w:r>
      <w:r w:rsidRPr="00B96915">
        <w:rPr>
          <w:rFonts w:ascii="Times New Roman" w:eastAsia="Times New Roman" w:hAnsi="Times New Roman" w:cs="Times New Roman"/>
          <w:spacing w:val="-1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[13].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37" w:lineRule="auto"/>
        <w:ind w:left="393" w:right="733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Призначати аеротерапію і морські купелі при температурі води 20 – 22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 xml:space="preserve">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 і повітря 18 – 22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 xml:space="preserve">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 протягом 2 – 5 – 8 хвилин або обтирання тіла морською водою можливо і хворим з гіпертонічною формою хронічного гломерулонефриту в теплу пору року, якщо артеріальний тиск не вище 130/105 мм рт. ст. [14,</w:t>
      </w:r>
      <w:r w:rsidRPr="00B96915">
        <w:rPr>
          <w:rFonts w:ascii="Times New Roman" w:eastAsia="Times New Roman" w:hAnsi="Times New Roman" w:cs="Times New Roman"/>
          <w:spacing w:val="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15].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6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Кліматотерапія, згідно дослідженням ряду авторів [6, 14, 15], направлена на тренування термоадаптаційних механізмів організму та на покращення і нормалізацію обміну речовин. Теплий сухий клімат сприяє підвищенню потовиділення і виведенню з організму хлоридів, азотистих шлаків, поліпшує нирковий кровообіг, роботу ниркових клубочків, білковий та електролітний склад крові, знижує протеінурію та артеріальний тиск.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3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Основні завдання фізіотерапії та лікувальної фізичної культури у періоді ремісії хронічного гломерулонефриту в умовах санаторно-курортного лікування [5,</w:t>
      </w:r>
      <w:r w:rsidRPr="00B96915">
        <w:rPr>
          <w:rFonts w:ascii="Times New Roman" w:eastAsia="Times New Roman" w:hAnsi="Times New Roman" w:cs="Times New Roman"/>
          <w:spacing w:val="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15]:</w:t>
      </w:r>
    </w:p>
    <w:p w:rsidR="00B96915" w:rsidRPr="00B96915" w:rsidRDefault="00B96915" w:rsidP="00B96915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321" w:lineRule="exact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поліпшення і нормалізація ниркового</w:t>
      </w:r>
      <w:r w:rsidRPr="00B96915">
        <w:rPr>
          <w:rFonts w:ascii="Times New Roman" w:eastAsia="Times New Roman" w:hAnsi="Times New Roman" w:cs="Times New Roman"/>
          <w:spacing w:val="4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кровообігу;</w:t>
      </w:r>
    </w:p>
    <w:p w:rsidR="00B96915" w:rsidRPr="00B96915" w:rsidRDefault="00B96915" w:rsidP="00B96915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322" w:lineRule="exact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поліпшення клубочкової</w:t>
      </w:r>
      <w:r w:rsidRPr="00B96915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фільтрації;</w:t>
      </w:r>
    </w:p>
    <w:p w:rsidR="00B96915" w:rsidRPr="00B96915" w:rsidRDefault="00B96915" w:rsidP="00B96915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тренування термоадаптаційних</w:t>
      </w:r>
      <w:r w:rsidRPr="00B96915">
        <w:rPr>
          <w:rFonts w:ascii="Times New Roman" w:eastAsia="Times New Roman" w:hAnsi="Times New Roman" w:cs="Times New Roman"/>
          <w:spacing w:val="-2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механізмів;</w:t>
      </w:r>
    </w:p>
    <w:p w:rsidR="00B96915" w:rsidRPr="00B96915" w:rsidRDefault="00B96915" w:rsidP="00B96915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322" w:lineRule="exact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поліпшення обміну</w:t>
      </w:r>
      <w:r w:rsidRPr="00B96915">
        <w:rPr>
          <w:rFonts w:ascii="Times New Roman" w:eastAsia="Times New Roman" w:hAnsi="Times New Roman" w:cs="Times New Roman"/>
          <w:spacing w:val="-2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речовин;</w:t>
      </w:r>
    </w:p>
    <w:p w:rsidR="00B96915" w:rsidRPr="00B96915" w:rsidRDefault="00B96915" w:rsidP="00B96915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забезпечення стійкої компенсації порушеної функції</w:t>
      </w:r>
      <w:r w:rsidRPr="00B96915">
        <w:rPr>
          <w:rFonts w:ascii="Times New Roman" w:eastAsia="Times New Roman" w:hAnsi="Times New Roman" w:cs="Times New Roman"/>
          <w:spacing w:val="-14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нирок;</w:t>
      </w:r>
    </w:p>
    <w:p w:rsidR="00B96915" w:rsidRPr="00B96915" w:rsidRDefault="00B96915" w:rsidP="00B96915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before="2" w:after="0" w:line="322" w:lineRule="exact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зміцнення та загартування</w:t>
      </w:r>
      <w:r w:rsidRPr="00B96915">
        <w:rPr>
          <w:rFonts w:ascii="Times New Roman" w:eastAsia="Times New Roman" w:hAnsi="Times New Roman" w:cs="Times New Roman"/>
          <w:spacing w:val="-27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організму;</w:t>
      </w:r>
    </w:p>
    <w:p w:rsidR="00B96915" w:rsidRPr="00B96915" w:rsidRDefault="00B96915" w:rsidP="00B96915">
      <w:pPr>
        <w:widowControl w:val="0"/>
        <w:numPr>
          <w:ilvl w:val="0"/>
          <w:numId w:val="2"/>
        </w:numPr>
        <w:tabs>
          <w:tab w:val="left" w:pos="1311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підвищення неспецифічної</w:t>
      </w:r>
      <w:r w:rsidRPr="00B96915">
        <w:rPr>
          <w:rFonts w:ascii="Times New Roman" w:eastAsia="Times New Roman" w:hAnsi="Times New Roman" w:cs="Times New Roman"/>
          <w:spacing w:val="-32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опірності.</w:t>
      </w:r>
    </w:p>
    <w:p w:rsidR="00B96915" w:rsidRPr="00B96915" w:rsidRDefault="00B96915" w:rsidP="00B96915">
      <w:pPr>
        <w:widowControl w:val="0"/>
        <w:autoSpaceDE w:val="0"/>
        <w:autoSpaceDN w:val="0"/>
        <w:spacing w:before="67" w:after="0" w:line="240" w:lineRule="auto"/>
        <w:ind w:left="393" w:right="725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Реабілітологи [3, 5] рекомендують проводити лікувальну фізичну культуру в умовах санаторію на щадно-тренувальному та тренувальному рухових режимах у поступово розширених формах: ранкової гігієнічної гімнастики, заняття лікувальної гімнастики, дозованої ходьби, прогулянок на свіжому повітрі, спрощеної форми спортивних ігор (теніс, бадмінтон, городки тощо), лікувальної гімнастики у басейні з теплою водою тощо. Заняття лікувальною гімнастикою слід проводити малогруповим або груповим методом з використанням загальнорозвивальних вправ у вихідних положеннях стоячи, сидячи, лежачи з охопленням більшості м’язових груп, з предметами (гімнастичні м’ячі, обручі, гантелі) та без предметів.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Пєшкова О. В., 2010, рекомендує поступово включати фізичні вправи для м’язів тазового дна, клубочкових та поперекових м’язів тулуба, широко призначати дихальні вправи, вправи, що корегують поставу та на росзлаблення [5]. Хворим з гіпертонічною формою хвороби слід додавати вправи на координацію рухів, вправи для тренування вестибулярного апарату і вправи з незначним обтяженням (гантелі або медболи до 1 – 3 кг), 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їм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протипоказані вправи із затримкою дихання, значні силові вправи та вправи з</w:t>
      </w:r>
      <w:r w:rsidRPr="00B96915">
        <w:rPr>
          <w:rFonts w:ascii="Times New Roman" w:eastAsia="Times New Roman" w:hAnsi="Times New Roman" w:cs="Times New Roman"/>
          <w:spacing w:val="-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напруженням.</w:t>
      </w:r>
    </w:p>
    <w:p w:rsidR="00B96915" w:rsidRPr="00B96915" w:rsidRDefault="00B96915" w:rsidP="00B96915">
      <w:pPr>
        <w:widowControl w:val="0"/>
        <w:autoSpaceDE w:val="0"/>
        <w:autoSpaceDN w:val="0"/>
        <w:spacing w:before="5" w:after="0" w:line="240" w:lineRule="auto"/>
        <w:ind w:left="393" w:right="743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Заняття лікувальною гімнастикою повинні проводитися під постійним контролем ниркової функції, клінічної картини сечі та крові, контролем артеріального тиску [3, 5].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27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Ефективність кліматотерапії та лікувальної фізичної культури, на думку ряду фізіотерапевтів [7, 15], можливо посилювати призначенням в умовах санаторію деяких преформованих фізіотерапевтичних чинників з урахуванням клінічної  форми  (варіантів  або   синдромів)   хронічного   гломерулонефриту. З метою поліпшення видільної функції нирок, функції клубочкової фільтрації, покращення ниркового кровообігу та посилення діурезу вони рекомендують хворим з нефротичним, сечовим синдромом призначати інфрачервоне опромінювання та теплові процедури на зону проекції нирок (поперекову зону): соллюкс, електросвітлові ванни, тривалістю 40 – 60 хвилин, 1 – 2 рази на добу; парафінові та озокеритові аплікації з температурою 40 – 50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 xml:space="preserve">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С, тривалістю процедури 20 – 30 хвилин, 2 рази на добу; ванни за Гауффе з поступово підвищеною температурою води з 36 – 37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 xml:space="preserve">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 до 42 – 44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 xml:space="preserve">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С, тривалістю всієї процедури до 30 – 40 хвилин, через день [7,</w:t>
      </w:r>
      <w:r w:rsidRPr="00B96915">
        <w:rPr>
          <w:rFonts w:ascii="Times New Roman" w:eastAsia="Times New Roman" w:hAnsi="Times New Roman" w:cs="Times New Roman"/>
          <w:spacing w:val="1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10].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31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 метою десенсибілізації організму, усунення запальних явищ у нирках, зниження підвищеної судинної проникності фізіотерапевти [12, 14] рекомендують паралельно з тепловими процедурами та інфрачервоним опромінюванням зони проекції нирок призначати хворим з нефротичним та сечовим синдромом, особливо за наявності у сечі гематурії, кальцій — електрофорез.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28" w:firstLine="710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Федорів Я.-Р. М., 2004, рекомендує в умовах санаторно-курортного лікування проводити цим хворим індуктотермію, ультразвукову терапію [13]. При проведенні процедури індуктотермії розташовують індуктор-диск без зазору або індуктор-кабель із зазором 1,5 – 2 см у поперековій зоні проекції нирок у положенні пацієнта лежачи на животі, використовуючи слаботеплову</w:t>
      </w:r>
    </w:p>
    <w:p w:rsidR="00B96915" w:rsidRPr="00B96915" w:rsidRDefault="00B96915" w:rsidP="00B96915">
      <w:pPr>
        <w:widowControl w:val="0"/>
        <w:tabs>
          <w:tab w:val="left" w:pos="1237"/>
          <w:tab w:val="left" w:pos="3214"/>
          <w:tab w:val="left" w:pos="4293"/>
          <w:tab w:val="left" w:pos="5982"/>
          <w:tab w:val="left" w:pos="8601"/>
        </w:tabs>
        <w:autoSpaceDE w:val="0"/>
        <w:autoSpaceDN w:val="0"/>
        <w:spacing w:before="67" w:after="0" w:line="240" w:lineRule="auto"/>
        <w:ind w:left="393" w:right="727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або</w:t>
      </w:r>
      <w:r w:rsidRPr="00B96915">
        <w:rPr>
          <w:rFonts w:ascii="Times New Roman" w:eastAsia="Times New Roman" w:hAnsi="Times New Roman" w:cs="Times New Roman"/>
          <w:spacing w:val="1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середньотеплову</w:t>
      </w:r>
      <w:r w:rsidRPr="00B96915">
        <w:rPr>
          <w:rFonts w:ascii="Times New Roman" w:eastAsia="Times New Roman" w:hAnsi="Times New Roman" w:cs="Times New Roman"/>
          <w:spacing w:val="1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дозу,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тривалість</w:t>
      </w:r>
      <w:r w:rsidRPr="00B96915">
        <w:rPr>
          <w:rFonts w:ascii="Times New Roman" w:eastAsia="Times New Roman" w:hAnsi="Times New Roman" w:cs="Times New Roman"/>
          <w:spacing w:val="1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процедури</w:t>
      </w:r>
      <w:r w:rsidRPr="00B96915">
        <w:rPr>
          <w:rFonts w:ascii="Times New Roman" w:eastAsia="Times New Roman" w:hAnsi="Times New Roman" w:cs="Times New Roman"/>
          <w:spacing w:val="1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від</w:t>
      </w:r>
      <w:r w:rsidRPr="00B96915">
        <w:rPr>
          <w:rFonts w:ascii="Times New Roman" w:eastAsia="Times New Roman" w:hAnsi="Times New Roman" w:cs="Times New Roman"/>
          <w:spacing w:val="1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20</w:t>
      </w:r>
      <w:r w:rsidRPr="00B96915">
        <w:rPr>
          <w:rFonts w:ascii="Times New Roman" w:eastAsia="Times New Roman" w:hAnsi="Times New Roman" w:cs="Times New Roman"/>
          <w:spacing w:val="1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до</w:t>
      </w:r>
      <w:r w:rsidRPr="00B96915">
        <w:rPr>
          <w:rFonts w:ascii="Times New Roman" w:eastAsia="Times New Roman" w:hAnsi="Times New Roman" w:cs="Times New Roman"/>
          <w:spacing w:val="1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40</w:t>
      </w:r>
      <w:r w:rsidRPr="00B96915">
        <w:rPr>
          <w:rFonts w:ascii="Times New Roman" w:eastAsia="Times New Roman" w:hAnsi="Times New Roman" w:cs="Times New Roman"/>
          <w:spacing w:val="1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хвилин,</w:t>
      </w:r>
      <w:r w:rsidRPr="00B96915">
        <w:rPr>
          <w:rFonts w:ascii="Times New Roman" w:eastAsia="Times New Roman" w:hAnsi="Times New Roman" w:cs="Times New Roman"/>
          <w:spacing w:val="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щоденно</w:t>
      </w:r>
      <w:r w:rsidRPr="00B96915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[12]. Протипоказаннями до індуктотермії є загальні до фізіотерапії,</w:t>
      </w:r>
      <w:r w:rsidRPr="00B96915">
        <w:rPr>
          <w:rFonts w:ascii="Times New Roman" w:eastAsia="Times New Roman" w:hAnsi="Times New Roman" w:cs="Times New Roman"/>
          <w:spacing w:val="-1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</w:t>
      </w:r>
      <w:r w:rsidRPr="00B96915">
        <w:rPr>
          <w:rFonts w:ascii="Times New Roman" w:eastAsia="Times New Roman" w:hAnsi="Times New Roman" w:cs="Times New Roman"/>
          <w:spacing w:val="6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також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наявність гематурії у сечі, металевих предметів у</w:t>
      </w:r>
      <w:r w:rsidRPr="00B96915">
        <w:rPr>
          <w:rFonts w:ascii="Times New Roman" w:eastAsia="Times New Roman" w:hAnsi="Times New Roman" w:cs="Times New Roman"/>
          <w:spacing w:val="44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зоні</w:t>
      </w:r>
      <w:r w:rsidRPr="00B96915">
        <w:rPr>
          <w:rFonts w:ascii="Times New Roman" w:eastAsia="Times New Roman" w:hAnsi="Times New Roman" w:cs="Times New Roman"/>
          <w:spacing w:val="4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високочастотного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магнітного поля [17]. Відзначають позитивний вплив</w:t>
      </w:r>
      <w:r w:rsidRPr="00B96915">
        <w:rPr>
          <w:rFonts w:ascii="Times New Roman" w:eastAsia="Times New Roman" w:hAnsi="Times New Roman" w:cs="Times New Roman"/>
          <w:spacing w:val="1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ультразвукових</w:t>
      </w:r>
      <w:r w:rsidRPr="00B96915">
        <w:rPr>
          <w:rFonts w:ascii="Times New Roman" w:eastAsia="Times New Roman" w:hAnsi="Times New Roman" w:cs="Times New Roman"/>
          <w:spacing w:val="1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коливань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 нирковий кровообіг та функцію клубочкової фільтрації, які</w:t>
      </w:r>
      <w:r w:rsidRPr="00B96915">
        <w:rPr>
          <w:rFonts w:ascii="Times New Roman" w:eastAsia="Times New Roman" w:hAnsi="Times New Roman" w:cs="Times New Roman"/>
          <w:spacing w:val="-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призначають</w:t>
      </w:r>
      <w:r w:rsidRPr="00B96915">
        <w:rPr>
          <w:rFonts w:ascii="Times New Roman" w:eastAsia="Times New Roman" w:hAnsi="Times New Roman" w:cs="Times New Roman"/>
          <w:spacing w:val="3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в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імпульсному режимі на зону проекції нирок з інтенсивністю 0,2 –</w:t>
      </w:r>
      <w:r w:rsidRPr="00B96915">
        <w:rPr>
          <w:rFonts w:ascii="Times New Roman" w:eastAsia="Times New Roman" w:hAnsi="Times New Roman" w:cs="Times New Roman"/>
          <w:spacing w:val="3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0,4</w:t>
      </w:r>
      <w:r w:rsidRPr="00B96915">
        <w:rPr>
          <w:rFonts w:ascii="Times New Roman" w:eastAsia="Times New Roman" w:hAnsi="Times New Roman" w:cs="Times New Roman"/>
          <w:spacing w:val="3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Вт/см</w:t>
      </w:r>
      <w:r w:rsidRPr="00B96915">
        <w:rPr>
          <w:rFonts w:ascii="Times New Roman" w:eastAsia="Times New Roman" w:hAnsi="Times New Roman" w:cs="Times New Roman"/>
          <w:position w:val="10"/>
          <w:sz w:val="18"/>
          <w:szCs w:val="28"/>
          <w:lang w:bidi="en-US"/>
        </w:rPr>
        <w:t>2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,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тривалістю</w:t>
      </w:r>
      <w:r w:rsidRPr="00B96915">
        <w:rPr>
          <w:rFonts w:ascii="Times New Roman" w:eastAsia="Times New Roman" w:hAnsi="Times New Roman" w:cs="Times New Roman"/>
          <w:spacing w:val="4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процедури</w:t>
      </w:r>
      <w:r w:rsidRPr="00B96915">
        <w:rPr>
          <w:rFonts w:ascii="Times New Roman" w:eastAsia="Times New Roman" w:hAnsi="Times New Roman" w:cs="Times New Roman"/>
          <w:spacing w:val="4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до</w:t>
      </w:r>
      <w:r w:rsidRPr="00B96915">
        <w:rPr>
          <w:rFonts w:ascii="Times New Roman" w:eastAsia="Times New Roman" w:hAnsi="Times New Roman" w:cs="Times New Roman"/>
          <w:spacing w:val="4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4</w:t>
      </w:r>
      <w:r w:rsidRPr="00B96915">
        <w:rPr>
          <w:rFonts w:ascii="Times New Roman" w:eastAsia="Times New Roman" w:hAnsi="Times New Roman" w:cs="Times New Roman"/>
          <w:spacing w:val="5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–</w:t>
      </w:r>
      <w:r w:rsidRPr="00B96915">
        <w:rPr>
          <w:rFonts w:ascii="Times New Roman" w:eastAsia="Times New Roman" w:hAnsi="Times New Roman" w:cs="Times New Roman"/>
          <w:spacing w:val="4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5</w:t>
      </w:r>
      <w:r w:rsidRPr="00B96915">
        <w:rPr>
          <w:rFonts w:ascii="Times New Roman" w:eastAsia="Times New Roman" w:hAnsi="Times New Roman" w:cs="Times New Roman"/>
          <w:spacing w:val="4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хвилин,</w:t>
      </w:r>
      <w:r w:rsidRPr="00B96915">
        <w:rPr>
          <w:rFonts w:ascii="Times New Roman" w:eastAsia="Times New Roman" w:hAnsi="Times New Roman" w:cs="Times New Roman"/>
          <w:spacing w:val="5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на</w:t>
      </w:r>
      <w:r w:rsidRPr="00B96915">
        <w:rPr>
          <w:rFonts w:ascii="Times New Roman" w:eastAsia="Times New Roman" w:hAnsi="Times New Roman" w:cs="Times New Roman"/>
          <w:spacing w:val="4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курс</w:t>
      </w:r>
      <w:r w:rsidRPr="00B96915">
        <w:rPr>
          <w:rFonts w:ascii="Times New Roman" w:eastAsia="Times New Roman" w:hAnsi="Times New Roman" w:cs="Times New Roman"/>
          <w:spacing w:val="4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10</w:t>
      </w:r>
      <w:r w:rsidRPr="00B96915">
        <w:rPr>
          <w:rFonts w:ascii="Times New Roman" w:eastAsia="Times New Roman" w:hAnsi="Times New Roman" w:cs="Times New Roman"/>
          <w:spacing w:val="5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–</w:t>
      </w:r>
      <w:r w:rsidRPr="00B96915">
        <w:rPr>
          <w:rFonts w:ascii="Times New Roman" w:eastAsia="Times New Roman" w:hAnsi="Times New Roman" w:cs="Times New Roman"/>
          <w:spacing w:val="4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12</w:t>
      </w:r>
      <w:r w:rsidRPr="00B96915">
        <w:rPr>
          <w:rFonts w:ascii="Times New Roman" w:eastAsia="Times New Roman" w:hAnsi="Times New Roman" w:cs="Times New Roman"/>
          <w:spacing w:val="4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сеансів</w:t>
      </w:r>
      <w:r w:rsidRPr="00B96915">
        <w:rPr>
          <w:rFonts w:ascii="Times New Roman" w:eastAsia="Times New Roman" w:hAnsi="Times New Roman" w:cs="Times New Roman"/>
          <w:spacing w:val="4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[12].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Протиопказаннями до ультразвукової терапії є загальні, а</w:t>
      </w:r>
      <w:r w:rsidRPr="00B96915">
        <w:rPr>
          <w:rFonts w:ascii="Times New Roman" w:eastAsia="Times New Roman" w:hAnsi="Times New Roman" w:cs="Times New Roman"/>
          <w:spacing w:val="5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також</w:t>
      </w:r>
      <w:r w:rsidRPr="00B96915">
        <w:rPr>
          <w:rFonts w:ascii="Times New Roman" w:eastAsia="Times New Roman" w:hAnsi="Times New Roman" w:cs="Times New Roman"/>
          <w:spacing w:val="2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цукровий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діабет, артеріальна гіпотензія, ішемічна хвороба серця, захворювання</w:t>
      </w:r>
      <w:r w:rsidRPr="00B96915">
        <w:rPr>
          <w:rFonts w:ascii="Times New Roman" w:eastAsia="Times New Roman" w:hAnsi="Times New Roman" w:cs="Times New Roman"/>
          <w:spacing w:val="-46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ЦНС</w:t>
      </w:r>
      <w:r w:rsidRPr="00B96915">
        <w:rPr>
          <w:rFonts w:ascii="Times New Roman" w:eastAsia="Times New Roman" w:hAnsi="Times New Roman" w:cs="Times New Roman"/>
          <w:spacing w:val="-7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[17].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При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гіпертонічній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формі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хронічного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гломерулонефриту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bidi="en-US"/>
        </w:rPr>
        <w:t xml:space="preserve">(якщо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артеріальний тиск не перевищує 180/105 мм рт. ст.) фізіотерапевти</w:t>
      </w:r>
      <w:r w:rsidRPr="00B96915">
        <w:rPr>
          <w:rFonts w:ascii="Times New Roman" w:eastAsia="Times New Roman" w:hAnsi="Times New Roman" w:cs="Times New Roman"/>
          <w:spacing w:val="58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[7,</w:t>
      </w:r>
      <w:r w:rsidRPr="00B96915">
        <w:rPr>
          <w:rFonts w:ascii="Times New Roman" w:eastAsia="Times New Roman" w:hAnsi="Times New Roman" w:cs="Times New Roman"/>
          <w:spacing w:val="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13]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рекомендують призначати хворим індуктотермію (тільки</w:t>
      </w:r>
      <w:r w:rsidRPr="00B96915">
        <w:rPr>
          <w:rFonts w:ascii="Times New Roman" w:eastAsia="Times New Roman" w:hAnsi="Times New Roman" w:cs="Times New Roman"/>
          <w:spacing w:val="30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слаботеплову</w:t>
      </w:r>
      <w:r w:rsidRPr="00B96915">
        <w:rPr>
          <w:rFonts w:ascii="Times New Roman" w:eastAsia="Times New Roman" w:hAnsi="Times New Roman" w:cs="Times New Roman"/>
          <w:spacing w:val="42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дозу),</w:t>
      </w:r>
      <w:r w:rsidRPr="00B96915">
        <w:rPr>
          <w:rFonts w:ascii="Times New Roman" w:eastAsia="Times New Roman" w:hAnsi="Times New Roman" w:cs="Times New Roman"/>
          <w:w w:val="99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мікрохвильову терапію (випромінювач розташовують у зоні проекції нирок</w:t>
      </w:r>
      <w:r w:rsidRPr="00B96915">
        <w:rPr>
          <w:rFonts w:ascii="Times New Roman" w:eastAsia="Times New Roman" w:hAnsi="Times New Roman" w:cs="Times New Roman"/>
          <w:spacing w:val="5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D</w:t>
      </w:r>
      <w:r w:rsidRPr="00B96915">
        <w:rPr>
          <w:rFonts w:ascii="Times New Roman" w:eastAsia="Times New Roman" w:hAnsi="Times New Roman" w:cs="Times New Roman"/>
          <w:sz w:val="28"/>
          <w:szCs w:val="28"/>
          <w:vertAlign w:val="subscript"/>
          <w:lang w:bidi="en-US"/>
        </w:rPr>
        <w:t>10</w:t>
      </w:r>
    </w:p>
    <w:p w:rsidR="00B96915" w:rsidRPr="00B96915" w:rsidRDefault="00B96915" w:rsidP="00B96915">
      <w:pPr>
        <w:widowControl w:val="0"/>
        <w:numPr>
          <w:ilvl w:val="0"/>
          <w:numId w:val="4"/>
        </w:numPr>
        <w:tabs>
          <w:tab w:val="left" w:pos="634"/>
        </w:tabs>
        <w:autoSpaceDE w:val="0"/>
        <w:autoSpaceDN w:val="0"/>
        <w:spacing w:after="0" w:line="240" w:lineRule="auto"/>
        <w:ind w:right="727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>L</w:t>
      </w:r>
      <w:r w:rsidRPr="00B96915">
        <w:rPr>
          <w:rFonts w:ascii="Times New Roman" w:eastAsia="Times New Roman" w:hAnsi="Times New Roman" w:cs="Times New Roman"/>
          <w:spacing w:val="-4"/>
          <w:sz w:val="28"/>
          <w:vertAlign w:val="subscript"/>
          <w:lang w:bidi="en-US"/>
        </w:rPr>
        <w:t>2</w:t>
      </w:r>
      <w:r w:rsidRPr="00B96915">
        <w:rPr>
          <w:rFonts w:ascii="Times New Roman" w:eastAsia="Times New Roman" w:hAnsi="Times New Roman" w:cs="Times New Roman"/>
          <w:spacing w:val="-4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з повітряним проміжком до 3 – 4 см, доза теплова 30 – 50 </w:t>
      </w:r>
      <w:r w:rsidRPr="00B96915">
        <w:rPr>
          <w:rFonts w:ascii="Times New Roman" w:eastAsia="Times New Roman" w:hAnsi="Times New Roman" w:cs="Times New Roman"/>
          <w:spacing w:val="-2"/>
          <w:sz w:val="28"/>
          <w:lang w:bidi="en-US"/>
        </w:rPr>
        <w:t xml:space="preserve">Вт,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тривалість процедури 10 хвилин, щодня або через день), ванни за методикою Гауффе; з урахуванням клінічних ознак артеріальної гіпертензії, ознак серцево-судинної недостатності та протипоказань, можливо призначати фізіотерапевтичні методи (лікарський електрофорез з гіпотензивними та седативними препаратами, електросон, теплі хвойні, перлинні, йодо-бромні, вуглекислі ванни</w:t>
      </w:r>
      <w:r w:rsidRPr="00B96915">
        <w:rPr>
          <w:rFonts w:ascii="Times New Roman" w:eastAsia="Times New Roman" w:hAnsi="Times New Roman" w:cs="Times New Roman"/>
          <w:spacing w:val="-1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[7].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1103"/>
        <w:jc w:val="both"/>
        <w:outlineLvl w:val="2"/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t>Висновки</w:t>
      </w:r>
      <w:r w:rsidRPr="00B96915"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  <w:t>:</w:t>
      </w:r>
    </w:p>
    <w:p w:rsidR="00B96915" w:rsidRPr="00B96915" w:rsidRDefault="00B96915" w:rsidP="00B96915">
      <w:pPr>
        <w:widowControl w:val="0"/>
        <w:numPr>
          <w:ilvl w:val="1"/>
          <w:numId w:val="3"/>
        </w:numPr>
        <w:tabs>
          <w:tab w:val="left" w:pos="2299"/>
          <w:tab w:val="left" w:pos="2300"/>
        </w:tabs>
        <w:autoSpaceDE w:val="0"/>
        <w:autoSpaceDN w:val="0"/>
        <w:spacing w:after="0" w:line="240" w:lineRule="auto"/>
        <w:ind w:right="736"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 xml:space="preserve">Аналіз сучасної спеціальної наукової літератури з даної проблеми дозволив установити етіологію, класифікацію клінічних </w:t>
      </w:r>
      <w:r w:rsidRPr="00B96915">
        <w:rPr>
          <w:rFonts w:ascii="Times New Roman" w:eastAsia="Times New Roman" w:hAnsi="Times New Roman" w:cs="Times New Roman"/>
          <w:spacing w:val="2"/>
          <w:sz w:val="28"/>
          <w:lang w:val="en-US" w:bidi="en-US"/>
        </w:rPr>
        <w:t xml:space="preserve">форм,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ознаки хронічного гломерулонефриту та основні підходи до його лікування в умовах санаторію. Більшість терапевтів виділяють нефрологічну, гематурічну (сечовий синдром), гіпертонічну форми, для яких характерні специфічні клінічні, функціональні та морфологічні зміни у нирках, сечі та крові.</w:t>
      </w:r>
    </w:p>
    <w:p w:rsidR="00B96915" w:rsidRPr="00B96915" w:rsidRDefault="00B96915" w:rsidP="00B96915">
      <w:pPr>
        <w:widowControl w:val="0"/>
        <w:numPr>
          <w:ilvl w:val="1"/>
          <w:numId w:val="3"/>
        </w:numPr>
        <w:tabs>
          <w:tab w:val="left" w:pos="2299"/>
          <w:tab w:val="left" w:pos="2300"/>
        </w:tabs>
        <w:autoSpaceDE w:val="0"/>
        <w:autoSpaceDN w:val="0"/>
        <w:spacing w:after="0" w:line="240" w:lineRule="auto"/>
        <w:ind w:right="738"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Визначені завдання, механізми лікувальної дії засобів кліматотерапії, лікувальної фізичної культури та деяких преформованих фізичних чинників, які можливо призначати хворим на хронічний гломерулонефрит в умовах санаторно-курортного лікування з урахуванням клінічних форм, періоду перебігу хвороби, функціонального стану нирок, артеріального тиску, індивідуальних особливостей організму хворої людини та наявності супутної соматичної патології, протипоказань до їх</w:t>
      </w:r>
      <w:r w:rsidRPr="00B96915">
        <w:rPr>
          <w:rFonts w:ascii="Times New Roman" w:eastAsia="Times New Roman" w:hAnsi="Times New Roman" w:cs="Times New Roman"/>
          <w:spacing w:val="-24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застосування.</w:t>
      </w:r>
    </w:p>
    <w:p w:rsidR="00B96915" w:rsidRPr="00B96915" w:rsidRDefault="00B96915" w:rsidP="00B96915">
      <w:pPr>
        <w:widowControl w:val="0"/>
        <w:numPr>
          <w:ilvl w:val="1"/>
          <w:numId w:val="3"/>
        </w:numPr>
        <w:tabs>
          <w:tab w:val="left" w:pos="2227"/>
          <w:tab w:val="left" w:pos="2228"/>
        </w:tabs>
        <w:autoSpaceDE w:val="0"/>
        <w:autoSpaceDN w:val="0"/>
        <w:spacing w:after="0" w:line="240" w:lineRule="auto"/>
        <w:ind w:right="727"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Основними протипоказаннями до призначення хворим на хронічний гломерулонефрит кліматолікування та преформованих фізичних чинників в умовах сухого гарячого клімату (тобто в умовах санаторного лікування) є період загострення хвороби, гіпертонічна форма, якщо артеріальний тиск перевищує 180/105 мм рт. ст., тяжкий перебіг нефротичної форми з наявністю довготривалих масивних набряків, загальною дистрофією, порушеннями мозкового кровообігу та вираженою серцево-судинною недостатністю.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2" w:lineRule="auto"/>
        <w:ind w:left="393" w:right="735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b/>
          <w:sz w:val="28"/>
          <w:szCs w:val="28"/>
          <w:lang w:val="en-US" w:bidi="en-US"/>
        </w:rPr>
        <w:t xml:space="preserve">Перспективи подальших досліджень </w:t>
      </w: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пов’язані з науковим обґрунтуванням поєднаного використання засобів кліматотерапії, дієтотерапії, преформованих фізичних чинників у комплексній реабілітації хворих</w:t>
      </w:r>
      <w:r w:rsidRPr="00B96915">
        <w:rPr>
          <w:rFonts w:ascii="Times New Roman" w:eastAsia="Times New Roman" w:hAnsi="Times New Roman" w:cs="Times New Roman"/>
          <w:spacing w:val="51"/>
          <w:sz w:val="28"/>
          <w:szCs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на</w:t>
      </w:r>
    </w:p>
    <w:p w:rsidR="00B96915" w:rsidRPr="00B96915" w:rsidRDefault="00B96915" w:rsidP="00B96915">
      <w:pPr>
        <w:widowControl w:val="0"/>
        <w:tabs>
          <w:tab w:val="left" w:pos="2052"/>
          <w:tab w:val="left" w:pos="3064"/>
          <w:tab w:val="left" w:pos="4624"/>
          <w:tab w:val="left" w:pos="7108"/>
          <w:tab w:val="left" w:pos="7473"/>
          <w:tab w:val="left" w:pos="8552"/>
        </w:tabs>
        <w:autoSpaceDE w:val="0"/>
        <w:autoSpaceDN w:val="0"/>
        <w:spacing w:before="67" w:after="0" w:line="240" w:lineRule="auto"/>
        <w:ind w:left="393" w:right="741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нефротичну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форму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хронічного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гломерулонефриту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в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умовах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санаторного лікування.</w:t>
      </w:r>
    </w:p>
    <w:p w:rsidR="00B96915" w:rsidRPr="00B96915" w:rsidRDefault="00B96915" w:rsidP="00B96915">
      <w:pPr>
        <w:widowControl w:val="0"/>
        <w:autoSpaceDE w:val="0"/>
        <w:autoSpaceDN w:val="0"/>
        <w:spacing w:before="5" w:after="0" w:line="319" w:lineRule="exact"/>
        <w:ind w:left="1103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t>Список літератури.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10"/>
        </w:tabs>
        <w:autoSpaceDE w:val="0"/>
        <w:autoSpaceDN w:val="0"/>
        <w:spacing w:after="0" w:line="242" w:lineRule="auto"/>
        <w:ind w:right="732"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Внутренняя медицина: [учебник]. В 3 Т. — Т. 2. /А. С. Свиницкий, Л. Ф. Киноплева, Ю.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И.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Фещенко, 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А.  П. 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Пелещук  [и  др.]  // под  ред.  проф.  Е.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И.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Амосовой. — К.: ВСП «Медицина», 2010. — С.</w:t>
      </w:r>
      <w:r w:rsidRPr="00B96915">
        <w:rPr>
          <w:rFonts w:ascii="Times New Roman" w:eastAsia="Times New Roman" w:hAnsi="Times New Roman" w:cs="Times New Roman"/>
          <w:spacing w:val="22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235-266.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</w:tabs>
        <w:autoSpaceDE w:val="0"/>
        <w:autoSpaceDN w:val="0"/>
        <w:spacing w:after="0" w:line="316" w:lineRule="exact"/>
        <w:ind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Мисула І. Р. Медична та соціальна реабілітація: [навч.</w:t>
      </w:r>
      <w:r w:rsidRPr="00B96915">
        <w:rPr>
          <w:rFonts w:ascii="Times New Roman" w:eastAsia="Times New Roman" w:hAnsi="Times New Roman" w:cs="Times New Roman"/>
          <w:spacing w:val="-20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посібник]</w:t>
      </w:r>
    </w:p>
    <w:p w:rsidR="00B96915" w:rsidRPr="00B96915" w:rsidRDefault="00B96915" w:rsidP="00B96915">
      <w:pPr>
        <w:widowControl w:val="0"/>
        <w:tabs>
          <w:tab w:val="left" w:pos="2249"/>
          <w:tab w:val="left" w:pos="2762"/>
          <w:tab w:val="left" w:pos="3290"/>
          <w:tab w:val="left" w:pos="4882"/>
          <w:tab w:val="left" w:pos="5457"/>
          <w:tab w:val="left" w:pos="5875"/>
          <w:tab w:val="left" w:pos="6885"/>
          <w:tab w:val="left" w:pos="7418"/>
          <w:tab w:val="left" w:pos="8892"/>
          <w:tab w:val="left" w:pos="9223"/>
        </w:tabs>
        <w:autoSpaceDE w:val="0"/>
        <w:autoSpaceDN w:val="0"/>
        <w:spacing w:after="0" w:line="322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/І.</w:t>
      </w:r>
      <w:r w:rsidRPr="00B96915">
        <w:rPr>
          <w:rFonts w:ascii="Times New Roman" w:eastAsia="Times New Roman" w:hAnsi="Times New Roman" w:cs="Times New Roman"/>
          <w:spacing w:val="-1"/>
          <w:sz w:val="28"/>
          <w:szCs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Р. Мисула,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Л.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О.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Вакуленко,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М.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І.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Швед.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—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Тернопіль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:</w:t>
      </w: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ab/>
        <w:t>ТДМУ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«Укрмедкнига», 2005. — 401 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</w:tabs>
        <w:autoSpaceDE w:val="0"/>
        <w:autoSpaceDN w:val="0"/>
        <w:spacing w:after="0" w:line="240" w:lineRule="auto"/>
        <w:ind w:right="734"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Мухін В. М. Фізична реабілітація /В. М. Мухін. — К. : Олімпійська література, 2005. — 424</w:t>
      </w:r>
      <w:r w:rsidRPr="00B96915">
        <w:rPr>
          <w:rFonts w:ascii="Times New Roman" w:eastAsia="Times New Roman" w:hAnsi="Times New Roman" w:cs="Times New Roman"/>
          <w:spacing w:val="13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</w:tabs>
        <w:autoSpaceDE w:val="0"/>
        <w:autoSpaceDN w:val="0"/>
        <w:spacing w:after="0" w:line="240" w:lineRule="auto"/>
        <w:ind w:right="731"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Назарова Ю. В. Успешное лечение нефритов/ Ю. В. Назарова. — СПб:.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Издательство «Соlа», 2006. — 115</w:t>
      </w:r>
      <w:r w:rsidRPr="00B96915">
        <w:rPr>
          <w:rFonts w:ascii="Times New Roman" w:eastAsia="Times New Roman" w:hAnsi="Times New Roman" w:cs="Times New Roman"/>
          <w:spacing w:val="23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c.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</w:tabs>
        <w:autoSpaceDE w:val="0"/>
        <w:autoSpaceDN w:val="0"/>
        <w:spacing w:after="0" w:line="240" w:lineRule="auto"/>
        <w:ind w:right="734"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Пешкова О. В. Фізична реабілітація при захворюваннях внутрішніх органів: [навч. посібник] /О. В. Пешкова. — Харків: СПДФО Бровін О. В.,</w:t>
      </w:r>
      <w:r w:rsidRPr="00B96915">
        <w:rPr>
          <w:rFonts w:ascii="Times New Roman" w:eastAsia="Times New Roman" w:hAnsi="Times New Roman" w:cs="Times New Roman"/>
          <w:spacing w:val="-16"/>
          <w:sz w:val="28"/>
          <w:lang w:val="en-US"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2011.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22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— 312 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  <w:tab w:val="left" w:pos="2268"/>
          <w:tab w:val="left" w:pos="3376"/>
          <w:tab w:val="left" w:pos="4004"/>
          <w:tab w:val="left" w:pos="4546"/>
          <w:tab w:val="left" w:pos="5843"/>
          <w:tab w:val="left" w:pos="6400"/>
          <w:tab w:val="left" w:pos="9625"/>
        </w:tabs>
        <w:autoSpaceDE w:val="0"/>
        <w:autoSpaceDN w:val="0"/>
        <w:spacing w:after="0" w:line="242" w:lineRule="auto"/>
        <w:ind w:right="726"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 xml:space="preserve">Плахтій </w:t>
      </w:r>
      <w:r w:rsidRPr="00B96915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П.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Д. Профілактика та лікування захворювань нирок і сечовивідних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шляхів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/П.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Д.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Плахтій.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—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Кам’янець-Подільський: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ПП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19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«Медобор», 2013. — С. 125.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  <w:tab w:val="left" w:pos="3627"/>
          <w:tab w:val="left" w:pos="4063"/>
          <w:tab w:val="left" w:pos="4533"/>
          <w:tab w:val="left" w:pos="5688"/>
          <w:tab w:val="left" w:pos="8886"/>
        </w:tabs>
        <w:autoSpaceDE w:val="0"/>
        <w:autoSpaceDN w:val="0"/>
        <w:spacing w:after="0" w:line="240" w:lineRule="auto"/>
        <w:ind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Пономаренко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Г.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>Н.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ab/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Частная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 xml:space="preserve">физиотерапия: </w:t>
      </w:r>
      <w:r w:rsidRPr="00B96915">
        <w:rPr>
          <w:rFonts w:ascii="Times New Roman" w:eastAsia="Times New Roman" w:hAnsi="Times New Roman" w:cs="Times New Roman"/>
          <w:spacing w:val="47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[учебное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пособие].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22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/Г.Н. Пономаренко. — М.: Медицина, 2005. — 744 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</w:tabs>
        <w:autoSpaceDE w:val="0"/>
        <w:autoSpaceDN w:val="0"/>
        <w:spacing w:after="0" w:line="240" w:lineRule="auto"/>
        <w:ind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Романова Е.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А.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Справочник терапевта /Е.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А.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Романова, — М. :</w:t>
      </w:r>
      <w:r w:rsidRPr="00B96915">
        <w:rPr>
          <w:rFonts w:ascii="Times New Roman" w:eastAsia="Times New Roman" w:hAnsi="Times New Roman" w:cs="Times New Roman"/>
          <w:spacing w:val="5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АСТ,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16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2005.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  <w:tab w:val="left" w:pos="9756"/>
        </w:tabs>
        <w:autoSpaceDE w:val="0"/>
        <w:autoSpaceDN w:val="0"/>
        <w:spacing w:after="0" w:line="240" w:lineRule="auto"/>
        <w:ind w:firstLine="710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Романова   Е.  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А.  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Лечение   болезней   почек   /Е.</w:t>
      </w:r>
      <w:r w:rsidRPr="00B96915">
        <w:rPr>
          <w:rFonts w:ascii="Times New Roman" w:eastAsia="Times New Roman" w:hAnsi="Times New Roman" w:cs="Times New Roman"/>
          <w:spacing w:val="-9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А. </w:t>
      </w:r>
      <w:r w:rsidRPr="00B96915">
        <w:rPr>
          <w:rFonts w:ascii="Times New Roman" w:eastAsia="Times New Roman" w:hAnsi="Times New Roman" w:cs="Times New Roman"/>
          <w:spacing w:val="52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>Романова,</w:t>
      </w:r>
      <w:r w:rsidRPr="00B96915">
        <w:rPr>
          <w:rFonts w:ascii="Times New Roman" w:eastAsia="Times New Roman" w:hAnsi="Times New Roman" w:cs="Times New Roman"/>
          <w:sz w:val="28"/>
          <w:lang w:val="en-US" w:bidi="en-US"/>
        </w:rPr>
        <w:tab/>
        <w:t>—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21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М. : РИНОЛ, 2008. — 64 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10"/>
        </w:tabs>
        <w:autoSpaceDE w:val="0"/>
        <w:autoSpaceDN w:val="0"/>
        <w:spacing w:after="0" w:line="240" w:lineRule="auto"/>
        <w:ind w:right="727"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Самосюк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Н. И.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Физические методы лечения в медицинской реабилитации больных и инвалидов. /Н.И. Самосюк. — К. : Здоров’я, 2004. — 621</w:t>
      </w:r>
      <w:r w:rsidRPr="00B96915">
        <w:rPr>
          <w:rFonts w:ascii="Times New Roman" w:eastAsia="Times New Roman" w:hAnsi="Times New Roman" w:cs="Times New Roman"/>
          <w:spacing w:val="1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10"/>
        </w:tabs>
        <w:autoSpaceDE w:val="0"/>
        <w:autoSpaceDN w:val="0"/>
        <w:spacing w:after="0" w:line="242" w:lineRule="auto"/>
        <w:ind w:right="728"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Середюк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Н.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М. Внутрішня медицина. Терапія: [підручник для студ. вищ. медич. навч. закладів] /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Н. 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М. Середюк, І.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>П.</w:t>
      </w:r>
      <w:r w:rsidRPr="00B96915">
        <w:rPr>
          <w:rFonts w:ascii="Times New Roman" w:eastAsia="Times New Roman" w:hAnsi="Times New Roman" w:cs="Times New Roman"/>
          <w:spacing w:val="64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Вакалюк, О. С. Стасишин</w:t>
      </w:r>
      <w:r w:rsidRPr="00B96915">
        <w:rPr>
          <w:rFonts w:ascii="Times New Roman" w:eastAsia="Times New Roman" w:hAnsi="Times New Roman" w:cs="Times New Roman"/>
          <w:spacing w:val="70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[та інші]. — К. : Медицина, 2007. — 687</w:t>
      </w:r>
      <w:r w:rsidRPr="00B96915">
        <w:rPr>
          <w:rFonts w:ascii="Times New Roman" w:eastAsia="Times New Roman" w:hAnsi="Times New Roman" w:cs="Times New Roman"/>
          <w:spacing w:val="17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</w:tabs>
        <w:autoSpaceDE w:val="0"/>
        <w:autoSpaceDN w:val="0"/>
        <w:spacing w:after="0" w:line="316" w:lineRule="exact"/>
        <w:ind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Техника</w:t>
      </w:r>
      <w:r w:rsidRPr="00B96915">
        <w:rPr>
          <w:rFonts w:ascii="Times New Roman" w:eastAsia="Times New Roman" w:hAnsi="Times New Roman" w:cs="Times New Roman"/>
          <w:spacing w:val="32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и</w:t>
      </w:r>
      <w:r w:rsidRPr="00B96915">
        <w:rPr>
          <w:rFonts w:ascii="Times New Roman" w:eastAsia="Times New Roman" w:hAnsi="Times New Roman" w:cs="Times New Roman"/>
          <w:spacing w:val="31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методика</w:t>
      </w:r>
      <w:r w:rsidRPr="00B96915">
        <w:rPr>
          <w:rFonts w:ascii="Times New Roman" w:eastAsia="Times New Roman" w:hAnsi="Times New Roman" w:cs="Times New Roman"/>
          <w:spacing w:val="32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физиотерапевтических</w:t>
      </w:r>
      <w:r w:rsidRPr="00B96915">
        <w:rPr>
          <w:rFonts w:ascii="Times New Roman" w:eastAsia="Times New Roman" w:hAnsi="Times New Roman" w:cs="Times New Roman"/>
          <w:spacing w:val="27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процедур</w:t>
      </w:r>
      <w:r w:rsidRPr="00B96915">
        <w:rPr>
          <w:rFonts w:ascii="Times New Roman" w:eastAsia="Times New Roman" w:hAnsi="Times New Roman" w:cs="Times New Roman"/>
          <w:spacing w:val="31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[справочник]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322" w:lineRule="exact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/под ред. В. М. Боголюбова. — М. : Изд-во БИНОМ, 2012. — 464 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  <w:tab w:val="left" w:pos="3133"/>
          <w:tab w:val="left" w:pos="4061"/>
          <w:tab w:val="left" w:pos="4732"/>
          <w:tab w:val="left" w:pos="5974"/>
          <w:tab w:val="left" w:pos="7801"/>
          <w:tab w:val="left" w:pos="8861"/>
        </w:tabs>
        <w:autoSpaceDE w:val="0"/>
        <w:autoSpaceDN w:val="0"/>
        <w:spacing w:after="0" w:line="322" w:lineRule="exact"/>
        <w:ind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Федорів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Я.-Р.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М.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Основи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фізіотерапії: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[навч.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посібник]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/Я. - Р. М. Федорів. — Львів: Видавничий дім «НАУТІЛІУС», 2004. — 464 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09"/>
          <w:tab w:val="left" w:pos="1810"/>
          <w:tab w:val="left" w:pos="3099"/>
          <w:tab w:val="left" w:pos="3993"/>
          <w:tab w:val="left" w:pos="4631"/>
          <w:tab w:val="left" w:pos="5988"/>
          <w:tab w:val="left" w:pos="7834"/>
          <w:tab w:val="left" w:pos="8860"/>
        </w:tabs>
        <w:autoSpaceDE w:val="0"/>
        <w:autoSpaceDN w:val="0"/>
        <w:spacing w:after="0" w:line="322" w:lineRule="exact"/>
        <w:ind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Федорів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Я.-Р.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М.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Загальна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фізіотерапія: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[навч.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ab/>
        <w:t>посібник]</w:t>
      </w:r>
    </w:p>
    <w:p w:rsidR="00B96915" w:rsidRPr="00B96915" w:rsidRDefault="00B96915" w:rsidP="00B96915">
      <w:pPr>
        <w:widowControl w:val="0"/>
        <w:autoSpaceDE w:val="0"/>
        <w:autoSpaceDN w:val="0"/>
        <w:spacing w:after="0" w:line="240" w:lineRule="auto"/>
        <w:ind w:left="393" w:right="765"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szCs w:val="28"/>
          <w:lang w:bidi="en-US"/>
        </w:rPr>
        <w:t>/Я. - Р. М. Федорів, А. Л. Філіпюк, Р. Ю. Грицько. — К. : Здоров’я, 2004. — 224 с.</w:t>
      </w:r>
    </w:p>
    <w:p w:rsidR="00B96915" w:rsidRPr="00B96915" w:rsidRDefault="00B96915" w:rsidP="00B96915">
      <w:pPr>
        <w:widowControl w:val="0"/>
        <w:numPr>
          <w:ilvl w:val="0"/>
          <w:numId w:val="1"/>
        </w:numPr>
        <w:tabs>
          <w:tab w:val="left" w:pos="1810"/>
        </w:tabs>
        <w:autoSpaceDE w:val="0"/>
        <w:autoSpaceDN w:val="0"/>
        <w:spacing w:after="0" w:line="240" w:lineRule="auto"/>
        <w:ind w:right="731"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>Физиотерапия  и  курортология  /под  ред.  В.М.  Боголюбова.  —  М. : Изд-во БИНОМ, 2009, книга № 3. — 312</w:t>
      </w:r>
      <w:r w:rsidRPr="00B96915">
        <w:rPr>
          <w:rFonts w:ascii="Times New Roman" w:eastAsia="Times New Roman" w:hAnsi="Times New Roman" w:cs="Times New Roman"/>
          <w:spacing w:val="17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с.</w:t>
      </w:r>
    </w:p>
    <w:p w:rsidR="00B96915" w:rsidRDefault="00B96915" w:rsidP="00B96915">
      <w:pPr>
        <w:widowControl w:val="0"/>
        <w:numPr>
          <w:ilvl w:val="0"/>
          <w:numId w:val="1"/>
        </w:numPr>
        <w:tabs>
          <w:tab w:val="left" w:pos="1810"/>
        </w:tabs>
        <w:autoSpaceDE w:val="0"/>
        <w:autoSpaceDN w:val="0"/>
        <w:spacing w:after="0" w:line="242" w:lineRule="auto"/>
        <w:ind w:right="731" w:firstLine="710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Шабалов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Н. П.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Детские болезни: [учебник для студ. высш. мед. вузов] /Н.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П.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Шабалов [5-е изд., перераб. и дополн.]. — СПб. : Питер, 2006. — Том № 2. — 736</w:t>
      </w:r>
      <w:r w:rsidRPr="00B96915">
        <w:rPr>
          <w:rFonts w:ascii="Times New Roman" w:eastAsia="Times New Roman" w:hAnsi="Times New Roman" w:cs="Times New Roman"/>
          <w:spacing w:val="9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с.</w:t>
      </w:r>
    </w:p>
    <w:p w:rsidR="00B96915" w:rsidRDefault="00B96915" w:rsidP="00B96915">
      <w:pPr>
        <w:widowControl w:val="0"/>
        <w:tabs>
          <w:tab w:val="left" w:pos="1810"/>
        </w:tabs>
        <w:autoSpaceDE w:val="0"/>
        <w:autoSpaceDN w:val="0"/>
        <w:spacing w:after="0" w:line="242" w:lineRule="auto"/>
        <w:ind w:right="731"/>
        <w:jc w:val="both"/>
        <w:rPr>
          <w:rFonts w:ascii="Times New Roman" w:eastAsia="Times New Roman" w:hAnsi="Times New Roman" w:cs="Times New Roman"/>
          <w:sz w:val="28"/>
          <w:lang w:bidi="en-US"/>
        </w:rPr>
      </w:pPr>
    </w:p>
    <w:p w:rsidR="00B96915" w:rsidRPr="00B96915" w:rsidRDefault="00B96915" w:rsidP="00B96915">
      <w:pPr>
        <w:widowControl w:val="0"/>
        <w:tabs>
          <w:tab w:val="left" w:pos="1810"/>
        </w:tabs>
        <w:autoSpaceDE w:val="0"/>
        <w:autoSpaceDN w:val="0"/>
        <w:spacing w:after="0" w:line="242" w:lineRule="auto"/>
        <w:ind w:right="731"/>
        <w:jc w:val="both"/>
        <w:rPr>
          <w:rFonts w:ascii="Times New Roman" w:eastAsia="Times New Roman" w:hAnsi="Times New Roman" w:cs="Times New Roman"/>
          <w:sz w:val="28"/>
          <w:lang w:bidi="en-US"/>
        </w:rPr>
        <w:sectPr w:rsidR="00B96915" w:rsidRPr="00B96915" w:rsidSect="00B96915">
          <w:pgSz w:w="11910" w:h="16840"/>
          <w:pgMar w:top="1040" w:right="400" w:bottom="426" w:left="740" w:header="0" w:footer="985" w:gutter="0"/>
          <w:cols w:space="720"/>
        </w:sectPr>
      </w:pPr>
    </w:p>
    <w:p w:rsidR="00B96915" w:rsidRPr="00B96915" w:rsidRDefault="00B96915" w:rsidP="00B96915">
      <w:pPr>
        <w:pStyle w:val="a3"/>
        <w:widowControl w:val="0"/>
        <w:numPr>
          <w:ilvl w:val="0"/>
          <w:numId w:val="1"/>
        </w:numPr>
        <w:tabs>
          <w:tab w:val="left" w:pos="1810"/>
        </w:tabs>
        <w:autoSpaceDE w:val="0"/>
        <w:autoSpaceDN w:val="0"/>
        <w:spacing w:before="67" w:after="0" w:line="240" w:lineRule="auto"/>
        <w:ind w:right="734"/>
        <w:jc w:val="both"/>
        <w:rPr>
          <w:rFonts w:ascii="Times New Roman" w:eastAsia="Times New Roman" w:hAnsi="Times New Roman" w:cs="Times New Roman"/>
          <w:sz w:val="28"/>
          <w:lang w:bidi="en-US"/>
        </w:rPr>
      </w:pPr>
      <w:bookmarkStart w:id="0" w:name="_GoBack"/>
      <w:bookmarkEnd w:id="0"/>
      <w:r w:rsidRPr="00B96915">
        <w:rPr>
          <w:rFonts w:ascii="Times New Roman" w:eastAsia="Times New Roman" w:hAnsi="Times New Roman" w:cs="Times New Roman"/>
          <w:sz w:val="28"/>
          <w:lang w:bidi="en-US"/>
        </w:rPr>
        <w:t xml:space="preserve">Яковенко </w:t>
      </w:r>
      <w:r w:rsidRPr="00B96915">
        <w:rPr>
          <w:rFonts w:ascii="Times New Roman" w:eastAsia="Times New Roman" w:hAnsi="Times New Roman" w:cs="Times New Roman"/>
          <w:spacing w:val="-3"/>
          <w:sz w:val="28"/>
          <w:lang w:bidi="en-US"/>
        </w:rPr>
        <w:t xml:space="preserve">Н.    П.    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Фізіотерапія: [підручник]     /Н.П.     Яковенко, В. Б. Самойленко. — К. : ВСВ «Медицина», 2011. — 256</w:t>
      </w:r>
      <w:r w:rsidRPr="00B96915">
        <w:rPr>
          <w:rFonts w:ascii="Times New Roman" w:eastAsia="Times New Roman" w:hAnsi="Times New Roman" w:cs="Times New Roman"/>
          <w:spacing w:val="22"/>
          <w:sz w:val="28"/>
          <w:lang w:bidi="en-US"/>
        </w:rPr>
        <w:t xml:space="preserve"> </w:t>
      </w:r>
      <w:r w:rsidRPr="00B96915">
        <w:rPr>
          <w:rFonts w:ascii="Times New Roman" w:eastAsia="Times New Roman" w:hAnsi="Times New Roman" w:cs="Times New Roman"/>
          <w:sz w:val="28"/>
          <w:lang w:bidi="en-US"/>
        </w:rPr>
        <w:t>с.</w:t>
      </w:r>
    </w:p>
    <w:p w:rsidR="00775D2A" w:rsidRDefault="00775D2A" w:rsidP="00B96915">
      <w:pPr>
        <w:jc w:val="both"/>
      </w:pPr>
    </w:p>
    <w:sectPr w:rsidR="00775D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7A6113"/>
    <w:multiLevelType w:val="hybridMultilevel"/>
    <w:tmpl w:val="BDCA6538"/>
    <w:lvl w:ilvl="0" w:tplc="9FE0067A">
      <w:start w:val="1"/>
      <w:numFmt w:val="decimal"/>
      <w:lvlText w:val="%1."/>
      <w:lvlJc w:val="left"/>
      <w:pPr>
        <w:ind w:left="393" w:hanging="70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B5647308">
      <w:numFmt w:val="bullet"/>
      <w:lvlText w:val="•"/>
      <w:lvlJc w:val="left"/>
      <w:pPr>
        <w:ind w:left="1436" w:hanging="707"/>
      </w:pPr>
      <w:rPr>
        <w:rFonts w:hint="default"/>
        <w:lang w:val="en-US" w:eastAsia="en-US" w:bidi="en-US"/>
      </w:rPr>
    </w:lvl>
    <w:lvl w:ilvl="2" w:tplc="8A206FFA">
      <w:numFmt w:val="bullet"/>
      <w:lvlText w:val="•"/>
      <w:lvlJc w:val="left"/>
      <w:pPr>
        <w:ind w:left="2472" w:hanging="707"/>
      </w:pPr>
      <w:rPr>
        <w:rFonts w:hint="default"/>
        <w:lang w:val="en-US" w:eastAsia="en-US" w:bidi="en-US"/>
      </w:rPr>
    </w:lvl>
    <w:lvl w:ilvl="3" w:tplc="3CA601AA">
      <w:numFmt w:val="bullet"/>
      <w:lvlText w:val="•"/>
      <w:lvlJc w:val="left"/>
      <w:pPr>
        <w:ind w:left="3509" w:hanging="707"/>
      </w:pPr>
      <w:rPr>
        <w:rFonts w:hint="default"/>
        <w:lang w:val="en-US" w:eastAsia="en-US" w:bidi="en-US"/>
      </w:rPr>
    </w:lvl>
    <w:lvl w:ilvl="4" w:tplc="463E4DBA">
      <w:numFmt w:val="bullet"/>
      <w:lvlText w:val="•"/>
      <w:lvlJc w:val="left"/>
      <w:pPr>
        <w:ind w:left="4545" w:hanging="707"/>
      </w:pPr>
      <w:rPr>
        <w:rFonts w:hint="default"/>
        <w:lang w:val="en-US" w:eastAsia="en-US" w:bidi="en-US"/>
      </w:rPr>
    </w:lvl>
    <w:lvl w:ilvl="5" w:tplc="4B1CFE20">
      <w:numFmt w:val="bullet"/>
      <w:lvlText w:val="•"/>
      <w:lvlJc w:val="left"/>
      <w:pPr>
        <w:ind w:left="5582" w:hanging="707"/>
      </w:pPr>
      <w:rPr>
        <w:rFonts w:hint="default"/>
        <w:lang w:val="en-US" w:eastAsia="en-US" w:bidi="en-US"/>
      </w:rPr>
    </w:lvl>
    <w:lvl w:ilvl="6" w:tplc="A19EA4A4">
      <w:numFmt w:val="bullet"/>
      <w:lvlText w:val="•"/>
      <w:lvlJc w:val="left"/>
      <w:pPr>
        <w:ind w:left="6618" w:hanging="707"/>
      </w:pPr>
      <w:rPr>
        <w:rFonts w:hint="default"/>
        <w:lang w:val="en-US" w:eastAsia="en-US" w:bidi="en-US"/>
      </w:rPr>
    </w:lvl>
    <w:lvl w:ilvl="7" w:tplc="9E2EBCB4">
      <w:numFmt w:val="bullet"/>
      <w:lvlText w:val="•"/>
      <w:lvlJc w:val="left"/>
      <w:pPr>
        <w:ind w:left="7654" w:hanging="707"/>
      </w:pPr>
      <w:rPr>
        <w:rFonts w:hint="default"/>
        <w:lang w:val="en-US" w:eastAsia="en-US" w:bidi="en-US"/>
      </w:rPr>
    </w:lvl>
    <w:lvl w:ilvl="8" w:tplc="BAA4B8AA">
      <w:numFmt w:val="bullet"/>
      <w:lvlText w:val="•"/>
      <w:lvlJc w:val="left"/>
      <w:pPr>
        <w:ind w:left="8691" w:hanging="707"/>
      </w:pPr>
      <w:rPr>
        <w:rFonts w:hint="default"/>
        <w:lang w:val="en-US" w:eastAsia="en-US" w:bidi="en-US"/>
      </w:rPr>
    </w:lvl>
  </w:abstractNum>
  <w:abstractNum w:abstractNumId="1">
    <w:nsid w:val="35B35A6B"/>
    <w:multiLevelType w:val="hybridMultilevel"/>
    <w:tmpl w:val="251AC38C"/>
    <w:lvl w:ilvl="0" w:tplc="80F4B0EA">
      <w:start w:val="1"/>
      <w:numFmt w:val="decimal"/>
      <w:lvlText w:val="%1."/>
      <w:lvlJc w:val="left"/>
      <w:pPr>
        <w:ind w:left="676" w:hanging="35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79147EF0">
      <w:start w:val="1"/>
      <w:numFmt w:val="decimal"/>
      <w:lvlText w:val="%2."/>
      <w:lvlJc w:val="left"/>
      <w:pPr>
        <w:ind w:left="393" w:hanging="119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2" w:tplc="558E8546">
      <w:numFmt w:val="bullet"/>
      <w:lvlText w:val="•"/>
      <w:lvlJc w:val="left"/>
      <w:pPr>
        <w:ind w:left="1800" w:hanging="1196"/>
      </w:pPr>
      <w:rPr>
        <w:rFonts w:hint="default"/>
        <w:lang w:val="en-US" w:eastAsia="en-US" w:bidi="en-US"/>
      </w:rPr>
    </w:lvl>
    <w:lvl w:ilvl="3" w:tplc="41F6C6B8">
      <w:numFmt w:val="bullet"/>
      <w:lvlText w:val="•"/>
      <w:lvlJc w:val="left"/>
      <w:pPr>
        <w:ind w:left="2920" w:hanging="1196"/>
      </w:pPr>
      <w:rPr>
        <w:rFonts w:hint="default"/>
        <w:lang w:val="en-US" w:eastAsia="en-US" w:bidi="en-US"/>
      </w:rPr>
    </w:lvl>
    <w:lvl w:ilvl="4" w:tplc="0298F2E0">
      <w:numFmt w:val="bullet"/>
      <w:lvlText w:val="•"/>
      <w:lvlJc w:val="left"/>
      <w:pPr>
        <w:ind w:left="4041" w:hanging="1196"/>
      </w:pPr>
      <w:rPr>
        <w:rFonts w:hint="default"/>
        <w:lang w:val="en-US" w:eastAsia="en-US" w:bidi="en-US"/>
      </w:rPr>
    </w:lvl>
    <w:lvl w:ilvl="5" w:tplc="2B1AFCDC">
      <w:numFmt w:val="bullet"/>
      <w:lvlText w:val="•"/>
      <w:lvlJc w:val="left"/>
      <w:pPr>
        <w:ind w:left="5161" w:hanging="1196"/>
      </w:pPr>
      <w:rPr>
        <w:rFonts w:hint="default"/>
        <w:lang w:val="en-US" w:eastAsia="en-US" w:bidi="en-US"/>
      </w:rPr>
    </w:lvl>
    <w:lvl w:ilvl="6" w:tplc="3FF897B0">
      <w:numFmt w:val="bullet"/>
      <w:lvlText w:val="•"/>
      <w:lvlJc w:val="left"/>
      <w:pPr>
        <w:ind w:left="6282" w:hanging="1196"/>
      </w:pPr>
      <w:rPr>
        <w:rFonts w:hint="default"/>
        <w:lang w:val="en-US" w:eastAsia="en-US" w:bidi="en-US"/>
      </w:rPr>
    </w:lvl>
    <w:lvl w:ilvl="7" w:tplc="B5E21C26">
      <w:numFmt w:val="bullet"/>
      <w:lvlText w:val="•"/>
      <w:lvlJc w:val="left"/>
      <w:pPr>
        <w:ind w:left="7402" w:hanging="1196"/>
      </w:pPr>
      <w:rPr>
        <w:rFonts w:hint="default"/>
        <w:lang w:val="en-US" w:eastAsia="en-US" w:bidi="en-US"/>
      </w:rPr>
    </w:lvl>
    <w:lvl w:ilvl="8" w:tplc="476445A2">
      <w:numFmt w:val="bullet"/>
      <w:lvlText w:val="•"/>
      <w:lvlJc w:val="left"/>
      <w:pPr>
        <w:ind w:left="8523" w:hanging="1196"/>
      </w:pPr>
      <w:rPr>
        <w:rFonts w:hint="default"/>
        <w:lang w:val="en-US" w:eastAsia="en-US" w:bidi="en-US"/>
      </w:rPr>
    </w:lvl>
  </w:abstractNum>
  <w:abstractNum w:abstractNumId="2">
    <w:nsid w:val="38A55A88"/>
    <w:multiLevelType w:val="hybridMultilevel"/>
    <w:tmpl w:val="C7D240B2"/>
    <w:lvl w:ilvl="0" w:tplc="6EA06920">
      <w:numFmt w:val="bullet"/>
      <w:lvlText w:val="–"/>
      <w:lvlJc w:val="left"/>
      <w:pPr>
        <w:ind w:left="393" w:hanging="37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6F187AF6">
      <w:numFmt w:val="bullet"/>
      <w:lvlText w:val=""/>
      <w:lvlJc w:val="left"/>
      <w:pPr>
        <w:ind w:left="393" w:hanging="707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2" w:tplc="9C284C1C">
      <w:numFmt w:val="bullet"/>
      <w:lvlText w:val="•"/>
      <w:lvlJc w:val="left"/>
      <w:pPr>
        <w:ind w:left="2472" w:hanging="707"/>
      </w:pPr>
      <w:rPr>
        <w:rFonts w:hint="default"/>
        <w:lang w:val="en-US" w:eastAsia="en-US" w:bidi="en-US"/>
      </w:rPr>
    </w:lvl>
    <w:lvl w:ilvl="3" w:tplc="4F4A3C08">
      <w:numFmt w:val="bullet"/>
      <w:lvlText w:val="•"/>
      <w:lvlJc w:val="left"/>
      <w:pPr>
        <w:ind w:left="3509" w:hanging="707"/>
      </w:pPr>
      <w:rPr>
        <w:rFonts w:hint="default"/>
        <w:lang w:val="en-US" w:eastAsia="en-US" w:bidi="en-US"/>
      </w:rPr>
    </w:lvl>
    <w:lvl w:ilvl="4" w:tplc="6EEEF7EA">
      <w:numFmt w:val="bullet"/>
      <w:lvlText w:val="•"/>
      <w:lvlJc w:val="left"/>
      <w:pPr>
        <w:ind w:left="4545" w:hanging="707"/>
      </w:pPr>
      <w:rPr>
        <w:rFonts w:hint="default"/>
        <w:lang w:val="en-US" w:eastAsia="en-US" w:bidi="en-US"/>
      </w:rPr>
    </w:lvl>
    <w:lvl w:ilvl="5" w:tplc="7B90EB12">
      <w:numFmt w:val="bullet"/>
      <w:lvlText w:val="•"/>
      <w:lvlJc w:val="left"/>
      <w:pPr>
        <w:ind w:left="5582" w:hanging="707"/>
      </w:pPr>
      <w:rPr>
        <w:rFonts w:hint="default"/>
        <w:lang w:val="en-US" w:eastAsia="en-US" w:bidi="en-US"/>
      </w:rPr>
    </w:lvl>
    <w:lvl w:ilvl="6" w:tplc="CC988046">
      <w:numFmt w:val="bullet"/>
      <w:lvlText w:val="•"/>
      <w:lvlJc w:val="left"/>
      <w:pPr>
        <w:ind w:left="6618" w:hanging="707"/>
      </w:pPr>
      <w:rPr>
        <w:rFonts w:hint="default"/>
        <w:lang w:val="en-US" w:eastAsia="en-US" w:bidi="en-US"/>
      </w:rPr>
    </w:lvl>
    <w:lvl w:ilvl="7" w:tplc="A18CF880">
      <w:numFmt w:val="bullet"/>
      <w:lvlText w:val="•"/>
      <w:lvlJc w:val="left"/>
      <w:pPr>
        <w:ind w:left="7654" w:hanging="707"/>
      </w:pPr>
      <w:rPr>
        <w:rFonts w:hint="default"/>
        <w:lang w:val="en-US" w:eastAsia="en-US" w:bidi="en-US"/>
      </w:rPr>
    </w:lvl>
    <w:lvl w:ilvl="8" w:tplc="D09813BA">
      <w:numFmt w:val="bullet"/>
      <w:lvlText w:val="•"/>
      <w:lvlJc w:val="left"/>
      <w:pPr>
        <w:ind w:left="8691" w:hanging="707"/>
      </w:pPr>
      <w:rPr>
        <w:rFonts w:hint="default"/>
        <w:lang w:val="en-US" w:eastAsia="en-US" w:bidi="en-US"/>
      </w:rPr>
    </w:lvl>
  </w:abstractNum>
  <w:abstractNum w:abstractNumId="3">
    <w:nsid w:val="7A9F7E69"/>
    <w:multiLevelType w:val="hybridMultilevel"/>
    <w:tmpl w:val="8B6876A6"/>
    <w:lvl w:ilvl="0" w:tplc="1F265AE4">
      <w:numFmt w:val="bullet"/>
      <w:lvlText w:val="-"/>
      <w:lvlJc w:val="left"/>
      <w:pPr>
        <w:ind w:left="1310" w:hanging="20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en-US"/>
      </w:rPr>
    </w:lvl>
    <w:lvl w:ilvl="1" w:tplc="71E613E4">
      <w:numFmt w:val="bullet"/>
      <w:lvlText w:val="•"/>
      <w:lvlJc w:val="left"/>
      <w:pPr>
        <w:ind w:left="2264" w:hanging="207"/>
      </w:pPr>
      <w:rPr>
        <w:rFonts w:hint="default"/>
        <w:lang w:val="en-US" w:eastAsia="en-US" w:bidi="en-US"/>
      </w:rPr>
    </w:lvl>
    <w:lvl w:ilvl="2" w:tplc="83DE80AC">
      <w:numFmt w:val="bullet"/>
      <w:lvlText w:val="•"/>
      <w:lvlJc w:val="left"/>
      <w:pPr>
        <w:ind w:left="3208" w:hanging="207"/>
      </w:pPr>
      <w:rPr>
        <w:rFonts w:hint="default"/>
        <w:lang w:val="en-US" w:eastAsia="en-US" w:bidi="en-US"/>
      </w:rPr>
    </w:lvl>
    <w:lvl w:ilvl="3" w:tplc="E87A4D00">
      <w:numFmt w:val="bullet"/>
      <w:lvlText w:val="•"/>
      <w:lvlJc w:val="left"/>
      <w:pPr>
        <w:ind w:left="4153" w:hanging="207"/>
      </w:pPr>
      <w:rPr>
        <w:rFonts w:hint="default"/>
        <w:lang w:val="en-US" w:eastAsia="en-US" w:bidi="en-US"/>
      </w:rPr>
    </w:lvl>
    <w:lvl w:ilvl="4" w:tplc="52C8374A">
      <w:numFmt w:val="bullet"/>
      <w:lvlText w:val="•"/>
      <w:lvlJc w:val="left"/>
      <w:pPr>
        <w:ind w:left="5097" w:hanging="207"/>
      </w:pPr>
      <w:rPr>
        <w:rFonts w:hint="default"/>
        <w:lang w:val="en-US" w:eastAsia="en-US" w:bidi="en-US"/>
      </w:rPr>
    </w:lvl>
    <w:lvl w:ilvl="5" w:tplc="9B42B5A4">
      <w:numFmt w:val="bullet"/>
      <w:lvlText w:val="•"/>
      <w:lvlJc w:val="left"/>
      <w:pPr>
        <w:ind w:left="6042" w:hanging="207"/>
      </w:pPr>
      <w:rPr>
        <w:rFonts w:hint="default"/>
        <w:lang w:val="en-US" w:eastAsia="en-US" w:bidi="en-US"/>
      </w:rPr>
    </w:lvl>
    <w:lvl w:ilvl="6" w:tplc="C4B4D112">
      <w:numFmt w:val="bullet"/>
      <w:lvlText w:val="•"/>
      <w:lvlJc w:val="left"/>
      <w:pPr>
        <w:ind w:left="6986" w:hanging="207"/>
      </w:pPr>
      <w:rPr>
        <w:rFonts w:hint="default"/>
        <w:lang w:val="en-US" w:eastAsia="en-US" w:bidi="en-US"/>
      </w:rPr>
    </w:lvl>
    <w:lvl w:ilvl="7" w:tplc="3036DBA4">
      <w:numFmt w:val="bullet"/>
      <w:lvlText w:val="•"/>
      <w:lvlJc w:val="left"/>
      <w:pPr>
        <w:ind w:left="7930" w:hanging="207"/>
      </w:pPr>
      <w:rPr>
        <w:rFonts w:hint="default"/>
        <w:lang w:val="en-US" w:eastAsia="en-US" w:bidi="en-US"/>
      </w:rPr>
    </w:lvl>
    <w:lvl w:ilvl="8" w:tplc="B6BA982C">
      <w:numFmt w:val="bullet"/>
      <w:lvlText w:val="•"/>
      <w:lvlJc w:val="left"/>
      <w:pPr>
        <w:ind w:left="8875" w:hanging="207"/>
      </w:pPr>
      <w:rPr>
        <w:rFonts w:hint="default"/>
        <w:lang w:val="en-US" w:eastAsia="en-US" w:bidi="en-US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915"/>
    <w:rsid w:val="00775D2A"/>
    <w:rsid w:val="00B9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09A195-44A9-4E6E-8396-CF8FA45A0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69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2683</Words>
  <Characters>15296</Characters>
  <Application>Microsoft Office Word</Application>
  <DocSecurity>0</DocSecurity>
  <Lines>127</Lines>
  <Paragraphs>35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/>
      <vt:lpstr>        ЛІКУВАЛЬНА ФІЗИЧНА КУЛЬТУРА ТА ФІЗІОТЕРАПІЯ В КОМПЛЕКСНОМУ ЛІКУВАННІ ХВОРИХ НА Х</vt:lpstr>
      <vt:lpstr>        Завдання роботи:</vt:lpstr>
      <vt:lpstr>        Висновки:</vt:lpstr>
      <vt:lpstr>        Список літератури.</vt:lpstr>
    </vt:vector>
  </TitlesOfParts>
  <Company/>
  <LinksUpToDate>false</LinksUpToDate>
  <CharactersWithSpaces>17944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Елена</dc:creator>
  <cp:keywords/>
  <dc:description/>
  <cp:lastModifiedBy>Елена Елена</cp:lastModifiedBy>
  <cp:revision>1</cp:revision>
  <dcterms:created xsi:type="dcterms:W3CDTF">2019-09-30T08:05:00Z</dcterms:created>
  <dcterms:modified xsi:type="dcterms:W3CDTF">2019-09-30T08:10:00Z</dcterms:modified>
</cp:coreProperties>
</file>