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B9A" w:rsidRPr="00387730" w:rsidRDefault="00BB7B9A" w:rsidP="00BB7B9A">
      <w:pPr>
        <w:pStyle w:val="4"/>
        <w:rPr>
          <w:sz w:val="22"/>
          <w:szCs w:val="22"/>
          <w:lang w:val="uk-UA"/>
        </w:rPr>
      </w:pPr>
      <w:r w:rsidRPr="00DE28AE">
        <w:rPr>
          <w:sz w:val="22"/>
          <w:szCs w:val="22"/>
        </w:rPr>
        <w:t>ВЫСОКОЧУВСТВИТЕЛЬНЫЙ НАНОТЕХНОЛОГИЧНЫЙ МЕТОД ОПРЕДЕЛЕНИЯ НЕРАСТВОРИМЫХ В ВОДЕ ЭКОТОКСИКАНТОВ</w:t>
      </w:r>
    </w:p>
    <w:p w:rsidR="00BB7B9A" w:rsidRPr="00627FA9" w:rsidRDefault="00BB7B9A" w:rsidP="00BB7B9A">
      <w:pPr>
        <w:jc w:val="center"/>
        <w:rPr>
          <w:sz w:val="22"/>
          <w:szCs w:val="22"/>
        </w:rPr>
      </w:pPr>
      <w:r w:rsidRPr="00832EB1">
        <w:rPr>
          <w:sz w:val="22"/>
          <w:szCs w:val="22"/>
        </w:rPr>
        <w:t>Кукоба Е.А</w:t>
      </w:r>
      <w:r>
        <w:rPr>
          <w:sz w:val="22"/>
          <w:szCs w:val="22"/>
        </w:rPr>
        <w:t>., Рожицкий Н.Н.</w:t>
      </w:r>
    </w:p>
    <w:p w:rsidR="00BB7B9A" w:rsidRPr="00977A6C" w:rsidRDefault="00BB7B9A" w:rsidP="00BB7B9A">
      <w:pPr>
        <w:jc w:val="center"/>
        <w:rPr>
          <w:sz w:val="22"/>
          <w:szCs w:val="22"/>
        </w:rPr>
      </w:pPr>
      <w:r w:rsidRPr="00977A6C">
        <w:rPr>
          <w:sz w:val="22"/>
          <w:szCs w:val="22"/>
        </w:rPr>
        <w:t>Харьковский национальный университет ради</w:t>
      </w:r>
      <w:r w:rsidRPr="00977A6C">
        <w:rPr>
          <w:sz w:val="22"/>
          <w:szCs w:val="22"/>
        </w:rPr>
        <w:t>о</w:t>
      </w:r>
      <w:r w:rsidRPr="00977A6C">
        <w:rPr>
          <w:sz w:val="22"/>
          <w:szCs w:val="22"/>
        </w:rPr>
        <w:t>электроники</w:t>
      </w:r>
    </w:p>
    <w:p w:rsidR="00BB7B9A" w:rsidRPr="00977A6C" w:rsidRDefault="00BB7B9A" w:rsidP="00BB7B9A">
      <w:pPr>
        <w:jc w:val="center"/>
        <w:rPr>
          <w:sz w:val="22"/>
          <w:szCs w:val="22"/>
        </w:rPr>
      </w:pPr>
      <w:r w:rsidRPr="00977A6C">
        <w:rPr>
          <w:sz w:val="22"/>
          <w:szCs w:val="22"/>
        </w:rPr>
        <w:t xml:space="preserve">61166, Харьков, пр. Ленина, </w:t>
      </w:r>
      <w:r w:rsidRPr="00387730">
        <w:rPr>
          <w:sz w:val="22"/>
          <w:szCs w:val="22"/>
        </w:rPr>
        <w:t>лаборатор</w:t>
      </w:r>
      <w:r>
        <w:rPr>
          <w:sz w:val="22"/>
          <w:szCs w:val="22"/>
        </w:rPr>
        <w:t>и</w:t>
      </w:r>
      <w:r w:rsidRPr="00387730">
        <w:rPr>
          <w:sz w:val="22"/>
          <w:szCs w:val="22"/>
        </w:rPr>
        <w:t>я "Анал</w:t>
      </w:r>
      <w:r>
        <w:rPr>
          <w:sz w:val="22"/>
          <w:szCs w:val="22"/>
        </w:rPr>
        <w:t>и</w:t>
      </w:r>
      <w:r w:rsidRPr="00387730">
        <w:rPr>
          <w:sz w:val="22"/>
          <w:szCs w:val="22"/>
        </w:rPr>
        <w:t>тич</w:t>
      </w:r>
      <w:r>
        <w:rPr>
          <w:sz w:val="22"/>
          <w:szCs w:val="22"/>
        </w:rPr>
        <w:t>еская</w:t>
      </w:r>
      <w:r w:rsidRPr="00387730">
        <w:rPr>
          <w:sz w:val="22"/>
          <w:szCs w:val="22"/>
        </w:rPr>
        <w:t xml:space="preserve"> оптохемотрон</w:t>
      </w:r>
      <w:r>
        <w:rPr>
          <w:sz w:val="22"/>
          <w:szCs w:val="22"/>
        </w:rPr>
        <w:t>и</w:t>
      </w:r>
      <w:r w:rsidRPr="00387730">
        <w:rPr>
          <w:sz w:val="22"/>
          <w:szCs w:val="22"/>
        </w:rPr>
        <w:t>ка"</w:t>
      </w:r>
      <w:r w:rsidRPr="00977A6C">
        <w:rPr>
          <w:sz w:val="22"/>
          <w:szCs w:val="22"/>
        </w:rPr>
        <w:t>,</w:t>
      </w:r>
    </w:p>
    <w:p w:rsidR="00BB7B9A" w:rsidRPr="00D20064" w:rsidRDefault="00BB7B9A" w:rsidP="00BB7B9A">
      <w:pPr>
        <w:jc w:val="center"/>
        <w:rPr>
          <w:sz w:val="22"/>
          <w:szCs w:val="22"/>
        </w:rPr>
      </w:pPr>
      <w:r w:rsidRPr="00832EB1">
        <w:rPr>
          <w:sz w:val="22"/>
          <w:szCs w:val="22"/>
        </w:rPr>
        <w:t xml:space="preserve">E-mail: </w:t>
      </w:r>
      <w:hyperlink r:id="rId4" w:history="1">
        <w:r w:rsidRPr="00D20064">
          <w:rPr>
            <w:rStyle w:val="a3"/>
            <w:sz w:val="22"/>
            <w:szCs w:val="22"/>
            <w:lang w:val="it-IT"/>
          </w:rPr>
          <w:t>rzh@kture.kharkov.ua</w:t>
        </w:r>
      </w:hyperlink>
    </w:p>
    <w:p w:rsidR="00BB7B9A" w:rsidRPr="00DE28AE" w:rsidRDefault="00BB7B9A" w:rsidP="00BB7B9A">
      <w:pPr>
        <w:ind w:firstLine="567"/>
        <w:jc w:val="both"/>
        <w:rPr>
          <w:spacing w:val="-2"/>
          <w:sz w:val="22"/>
          <w:szCs w:val="22"/>
          <w:lang w:val="en-US"/>
        </w:rPr>
      </w:pPr>
      <w:r w:rsidRPr="00DE28AE">
        <w:rPr>
          <w:spacing w:val="-2"/>
          <w:sz w:val="22"/>
          <w:szCs w:val="22"/>
          <w:lang w:val="en-US"/>
        </w:rPr>
        <w:t>The paper is devoted to the problem of water insoluble ecotoxicant detection in aqu</w:t>
      </w:r>
      <w:r w:rsidRPr="00DE28AE">
        <w:rPr>
          <w:spacing w:val="-2"/>
          <w:sz w:val="22"/>
          <w:szCs w:val="22"/>
          <w:lang w:val="en-US"/>
        </w:rPr>
        <w:t>e</w:t>
      </w:r>
      <w:r w:rsidRPr="00DE28AE">
        <w:rPr>
          <w:spacing w:val="-2"/>
          <w:sz w:val="22"/>
          <w:szCs w:val="22"/>
          <w:lang w:val="en-US"/>
        </w:rPr>
        <w:t>ous medium using electrochemiluminescent method. The increase of detection sensitivity was reached using polyacenes immobilization on the sensor electrode surface by means of Lan</w:t>
      </w:r>
      <w:r w:rsidRPr="00DE28AE">
        <w:rPr>
          <w:spacing w:val="-2"/>
          <w:sz w:val="22"/>
          <w:szCs w:val="22"/>
          <w:lang w:val="en-US"/>
        </w:rPr>
        <w:t>g</w:t>
      </w:r>
      <w:r w:rsidRPr="00DE28AE">
        <w:rPr>
          <w:spacing w:val="-2"/>
          <w:sz w:val="22"/>
          <w:szCs w:val="22"/>
          <w:lang w:val="en-US"/>
        </w:rPr>
        <w:t xml:space="preserve">muir-Blodgett technique. Advantages of proposed method were demonstrated on example of polyacenes detection. </w:t>
      </w:r>
    </w:p>
    <w:p w:rsidR="00BB7B9A" w:rsidRPr="00DE28AE" w:rsidRDefault="00BB7B9A" w:rsidP="00BB7B9A">
      <w:pPr>
        <w:ind w:firstLine="567"/>
        <w:jc w:val="both"/>
        <w:rPr>
          <w:spacing w:val="-2"/>
          <w:sz w:val="22"/>
          <w:szCs w:val="22"/>
          <w:lang w:val="en-US"/>
        </w:rPr>
      </w:pPr>
    </w:p>
    <w:p w:rsidR="00BB7B9A" w:rsidRPr="00D20064" w:rsidRDefault="00BB7B9A" w:rsidP="00BB7B9A">
      <w:pPr>
        <w:ind w:firstLine="567"/>
        <w:outlineLvl w:val="0"/>
        <w:rPr>
          <w:spacing w:val="-2"/>
          <w:sz w:val="22"/>
          <w:szCs w:val="22"/>
        </w:rPr>
      </w:pPr>
      <w:r w:rsidRPr="00D20064">
        <w:rPr>
          <w:b/>
          <w:spacing w:val="-2"/>
          <w:sz w:val="22"/>
          <w:szCs w:val="22"/>
        </w:rPr>
        <w:t>Введение</w:t>
      </w:r>
    </w:p>
    <w:p w:rsidR="00BB7B9A" w:rsidRPr="00D20064" w:rsidRDefault="00BB7B9A" w:rsidP="00BB7B9A">
      <w:pPr>
        <w:ind w:firstLine="567"/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>Электрохемилюминесцентный (ЭХЛ) метод определения органических соедин</w:t>
      </w:r>
      <w:r w:rsidRPr="00D20064">
        <w:rPr>
          <w:spacing w:val="-2"/>
          <w:sz w:val="22"/>
          <w:szCs w:val="22"/>
        </w:rPr>
        <w:t>е</w:t>
      </w:r>
      <w:r w:rsidRPr="00D20064">
        <w:rPr>
          <w:spacing w:val="-2"/>
          <w:sz w:val="22"/>
          <w:szCs w:val="22"/>
        </w:rPr>
        <w:t>ний, объединивший в себе достоинства люминесцентного и электрохимического методов, является одним из самых чувствительных [1]. Для уменьшения количества определяем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го вещества (объёма пробы) от объёмных ЭХЛ-ячеек перешли к тонкослойным ячейкам, в которых расстояние между рабочим и вспомогательным электродами составляет сотни и даже десятки микрометров. Однако такое техническое решение сделало невозможным использование режима потенциостатирования рабочего электрода, требующего размещ</w:t>
      </w:r>
      <w:r w:rsidRPr="00D20064">
        <w:rPr>
          <w:spacing w:val="-2"/>
          <w:sz w:val="22"/>
          <w:szCs w:val="22"/>
        </w:rPr>
        <w:t>е</w:t>
      </w:r>
      <w:r w:rsidRPr="00D20064">
        <w:rPr>
          <w:spacing w:val="-2"/>
          <w:sz w:val="22"/>
          <w:szCs w:val="22"/>
        </w:rPr>
        <w:t>ния между двумя электродами – рабочим и вспомогательным - третьего электрода сравнения, миниатюризация которого оказалась крайне сложной задачей. Использование тонкослойного ЭХЛ-сенсора в двухэлектродном варианте резко снизило точность управл</w:t>
      </w:r>
      <w:r w:rsidRPr="00D20064">
        <w:rPr>
          <w:spacing w:val="-2"/>
          <w:sz w:val="22"/>
          <w:szCs w:val="22"/>
        </w:rPr>
        <w:t>е</w:t>
      </w:r>
      <w:r w:rsidRPr="00D20064">
        <w:rPr>
          <w:spacing w:val="-2"/>
          <w:sz w:val="22"/>
          <w:szCs w:val="22"/>
        </w:rPr>
        <w:t>ния потенциалом рабочего электрода и, как следствие, избирательность определения. Другим существенным недостатком традиционного подхода является применение апр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тонных растворителей вместо доступной дистиллированной воды, в которой далеко не все определяемые соединения растворимы.</w:t>
      </w:r>
    </w:p>
    <w:p w:rsidR="00BB7B9A" w:rsidRPr="00D20064" w:rsidRDefault="00BB7B9A" w:rsidP="00BB7B9A">
      <w:pPr>
        <w:ind w:firstLine="567"/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>Использование технологии Ленгмюра-Блоджетт (ЛБ) позволяет усовершенствовать ЭХЛ метод за счет перевода определяемых веществ из анализируемого объёма в ЛБ м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нослои на поверхности электрода-сенсора и проведения анализа исключительно в водной фазе [2]. Предлагаемая методика наиболее эффективно может быть использована для определения нерастворимых в воде экотоксикантов, которые достаточно легко могут быть экстрагированы из воды органическими растворителями. Такими экотоксикантами являются полиацены, большинство из которых обладают ярко выраженными канцероге</w:t>
      </w:r>
      <w:r w:rsidRPr="00D20064">
        <w:rPr>
          <w:spacing w:val="-2"/>
          <w:sz w:val="22"/>
          <w:szCs w:val="22"/>
        </w:rPr>
        <w:t>н</w:t>
      </w:r>
      <w:r w:rsidRPr="00D20064">
        <w:rPr>
          <w:spacing w:val="-2"/>
          <w:sz w:val="22"/>
          <w:szCs w:val="22"/>
        </w:rPr>
        <w:t>ными и мутагенными свойствами. Полиацены образуются в процессе сжигания различных в</w:t>
      </w:r>
      <w:r w:rsidRPr="00D20064">
        <w:rPr>
          <w:spacing w:val="-2"/>
          <w:sz w:val="22"/>
          <w:szCs w:val="22"/>
        </w:rPr>
        <w:t>и</w:t>
      </w:r>
      <w:r w:rsidRPr="00D20064">
        <w:rPr>
          <w:spacing w:val="-2"/>
          <w:sz w:val="22"/>
          <w:szCs w:val="22"/>
        </w:rPr>
        <w:t>дов топлив (автомобили, коксохимическое производство и т.д.). Самым известным пол</w:t>
      </w:r>
      <w:r w:rsidRPr="00D20064">
        <w:rPr>
          <w:spacing w:val="-2"/>
          <w:sz w:val="22"/>
          <w:szCs w:val="22"/>
        </w:rPr>
        <w:t>и</w:t>
      </w:r>
      <w:r w:rsidRPr="00D20064">
        <w:rPr>
          <w:spacing w:val="-2"/>
          <w:sz w:val="22"/>
          <w:szCs w:val="22"/>
        </w:rPr>
        <w:t>аценом является 3,4-бензпирен – сильнейший канцероген, относящийся к веществам 1-го класса опасности (ПДК=0,001мкг/м</w:t>
      </w:r>
      <w:r w:rsidRPr="00D20064">
        <w:rPr>
          <w:spacing w:val="-2"/>
          <w:sz w:val="22"/>
          <w:szCs w:val="22"/>
          <w:vertAlign w:val="superscript"/>
        </w:rPr>
        <w:t>3</w:t>
      </w:r>
      <w:r w:rsidRPr="00D20064">
        <w:rPr>
          <w:spacing w:val="-2"/>
          <w:sz w:val="22"/>
          <w:szCs w:val="22"/>
        </w:rPr>
        <w:t>). Таким образом, определение содержания п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лиаценов в окружающей среде, в первую очередь в природных водах, является очень а</w:t>
      </w:r>
      <w:r w:rsidRPr="00D20064">
        <w:rPr>
          <w:spacing w:val="-2"/>
          <w:sz w:val="22"/>
          <w:szCs w:val="22"/>
        </w:rPr>
        <w:t>к</w:t>
      </w:r>
      <w:r w:rsidRPr="00D20064">
        <w:rPr>
          <w:spacing w:val="-2"/>
          <w:sz w:val="22"/>
          <w:szCs w:val="22"/>
        </w:rPr>
        <w:t xml:space="preserve">туальной задачей. </w:t>
      </w:r>
      <w:r w:rsidRPr="00D20064">
        <w:rPr>
          <w:bCs/>
          <w:spacing w:val="-2"/>
          <w:sz w:val="22"/>
          <w:szCs w:val="22"/>
        </w:rPr>
        <w:t>Полиацены обладают люминесцентными свойствами, но их о</w:t>
      </w:r>
      <w:r w:rsidRPr="00D20064">
        <w:rPr>
          <w:spacing w:val="-2"/>
          <w:sz w:val="22"/>
          <w:szCs w:val="22"/>
        </w:rPr>
        <w:t>предел</w:t>
      </w:r>
      <w:r w:rsidRPr="00D20064">
        <w:rPr>
          <w:spacing w:val="-2"/>
          <w:sz w:val="22"/>
          <w:szCs w:val="22"/>
        </w:rPr>
        <w:t>е</w:t>
      </w:r>
      <w:r w:rsidRPr="00D20064">
        <w:rPr>
          <w:spacing w:val="-2"/>
          <w:sz w:val="22"/>
          <w:szCs w:val="22"/>
        </w:rPr>
        <w:t>ние традиционными аналитическими методами затрудняет то обстоятельство, что они не растворяются в воде, а пребывают в ней в виде наноразмерных ча</w:t>
      </w:r>
      <w:r w:rsidRPr="00D20064">
        <w:rPr>
          <w:spacing w:val="-2"/>
          <w:sz w:val="22"/>
          <w:szCs w:val="22"/>
        </w:rPr>
        <w:t>с</w:t>
      </w:r>
      <w:r w:rsidRPr="00D20064">
        <w:rPr>
          <w:spacing w:val="-2"/>
          <w:sz w:val="22"/>
          <w:szCs w:val="22"/>
        </w:rPr>
        <w:t>тиц.</w:t>
      </w:r>
    </w:p>
    <w:p w:rsidR="00BB7B9A" w:rsidRPr="00D20064" w:rsidRDefault="00BB7B9A" w:rsidP="00BB7B9A">
      <w:pPr>
        <w:ind w:firstLine="567"/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>Разработанная методика предполагает экстрагирование полиаценов из водной пр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бы несмешивающимся с водой летучим растворителем (например, хлороформом). Для уменьшения количества растворителя может быть использована технология ультразвук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вого эмульгирования. В полученный экстракт добавляется необходимое количество а</w:t>
      </w:r>
      <w:r w:rsidRPr="00D20064">
        <w:rPr>
          <w:spacing w:val="-2"/>
          <w:sz w:val="22"/>
          <w:szCs w:val="22"/>
        </w:rPr>
        <w:t>м</w:t>
      </w:r>
      <w:r w:rsidRPr="00D20064">
        <w:rPr>
          <w:spacing w:val="-2"/>
          <w:sz w:val="22"/>
          <w:szCs w:val="22"/>
        </w:rPr>
        <w:t>фифильного вещества, способного создавать ЛБ-слои. Полученный раствор наносят на водную поверхность ЛБ-ванны и с помощью подвижного барьера формируют монослой, с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стоящий из упорядоченных молекул амфифильного вещества, между которыми зажаты молекулы полиаценов. При необходимом давлении сжатия полученный монослой пер</w:t>
      </w:r>
      <w:r w:rsidRPr="00D20064">
        <w:rPr>
          <w:spacing w:val="-2"/>
          <w:sz w:val="22"/>
          <w:szCs w:val="22"/>
        </w:rPr>
        <w:t>е</w:t>
      </w:r>
      <w:r w:rsidRPr="00D20064">
        <w:rPr>
          <w:spacing w:val="-2"/>
          <w:sz w:val="22"/>
          <w:szCs w:val="22"/>
        </w:rPr>
        <w:t>носят на поверхность электрода-сенсора, который помещается в качестве рабочего эле</w:t>
      </w:r>
      <w:r w:rsidRPr="00D20064">
        <w:rPr>
          <w:spacing w:val="-2"/>
          <w:sz w:val="22"/>
          <w:szCs w:val="22"/>
        </w:rPr>
        <w:t>к</w:t>
      </w:r>
      <w:r w:rsidRPr="00D20064">
        <w:rPr>
          <w:spacing w:val="-2"/>
          <w:sz w:val="22"/>
          <w:szCs w:val="22"/>
        </w:rPr>
        <w:t>трода в трехэлектродную ЭХЛ-ячейку. Ячейка заполняется водным раствором фонового электролита, в который добавлено необходимое количество сореагента (например, тр</w:t>
      </w:r>
      <w:r w:rsidRPr="00D20064">
        <w:rPr>
          <w:spacing w:val="-2"/>
          <w:sz w:val="22"/>
          <w:szCs w:val="22"/>
        </w:rPr>
        <w:t>и</w:t>
      </w:r>
      <w:r w:rsidRPr="00D20064">
        <w:rPr>
          <w:spacing w:val="-2"/>
          <w:sz w:val="22"/>
          <w:szCs w:val="22"/>
        </w:rPr>
        <w:t>пропиламина). К рабочему электроду прикладывается заданная потенциальная программа и измеряется интенсивность ЭХЛ определяемых полиаценов.</w:t>
      </w:r>
    </w:p>
    <w:p w:rsidR="00BB7B9A" w:rsidRPr="00D20064" w:rsidRDefault="00BB7B9A" w:rsidP="00BB7B9A">
      <w:pPr>
        <w:ind w:firstLine="567"/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>Реализация предлагаемого метода требует решения ряда технологических задач, основные из которых - выбор ленгмюрогенного амфифильного вещества для формиров</w:t>
      </w:r>
      <w:r w:rsidRPr="00D20064">
        <w:rPr>
          <w:spacing w:val="-2"/>
          <w:sz w:val="22"/>
          <w:szCs w:val="22"/>
        </w:rPr>
        <w:t>а</w:t>
      </w:r>
      <w:r w:rsidRPr="00D20064">
        <w:rPr>
          <w:spacing w:val="-2"/>
          <w:sz w:val="22"/>
          <w:szCs w:val="22"/>
        </w:rPr>
        <w:t>ния ЛБ-слоя (материал матрицы), определение условий формирования упорядоченного (жи</w:t>
      </w:r>
      <w:r w:rsidRPr="00D20064">
        <w:rPr>
          <w:spacing w:val="-2"/>
          <w:sz w:val="22"/>
          <w:szCs w:val="22"/>
        </w:rPr>
        <w:t>д</w:t>
      </w:r>
      <w:r w:rsidRPr="00D20064">
        <w:rPr>
          <w:spacing w:val="-2"/>
          <w:sz w:val="22"/>
          <w:szCs w:val="22"/>
        </w:rPr>
        <w:t>кокристаллического) ЛБ-монослоя и способа его переноса с поверхности субфазы на электрод-сенсор, определение оптимального количества ЛБ-монослоев на электроде-сенсоре, выбор сореагента и его оптимальной концентрации. Для определения оптимал</w:t>
      </w:r>
      <w:r w:rsidRPr="00D20064">
        <w:rPr>
          <w:spacing w:val="-2"/>
          <w:sz w:val="22"/>
          <w:szCs w:val="22"/>
        </w:rPr>
        <w:t>ь</w:t>
      </w:r>
      <w:r w:rsidRPr="00D20064">
        <w:rPr>
          <w:spacing w:val="-2"/>
          <w:sz w:val="22"/>
          <w:szCs w:val="22"/>
        </w:rPr>
        <w:t xml:space="preserve">ных условий проведения предлагаемой аналитической </w:t>
      </w:r>
      <w:r w:rsidRPr="00D20064">
        <w:rPr>
          <w:spacing w:val="-2"/>
          <w:sz w:val="22"/>
          <w:szCs w:val="22"/>
        </w:rPr>
        <w:lastRenderedPageBreak/>
        <w:t>процедуры были проведены исследования модельной системы, в которой использовались п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лиацены рубрен и 9,10-дифенилантрацен (ДФА).</w:t>
      </w:r>
    </w:p>
    <w:p w:rsidR="00BB7B9A" w:rsidRPr="00D20064" w:rsidRDefault="00BB7B9A" w:rsidP="00BB7B9A">
      <w:pPr>
        <w:ind w:firstLine="567"/>
        <w:jc w:val="both"/>
        <w:outlineLvl w:val="0"/>
        <w:rPr>
          <w:spacing w:val="-2"/>
          <w:sz w:val="22"/>
          <w:szCs w:val="22"/>
        </w:rPr>
      </w:pPr>
      <w:r w:rsidRPr="00D20064">
        <w:rPr>
          <w:b/>
          <w:spacing w:val="-2"/>
          <w:sz w:val="22"/>
          <w:szCs w:val="22"/>
        </w:rPr>
        <w:t>Сущность работы</w:t>
      </w:r>
    </w:p>
    <w:p w:rsidR="00BB7B9A" w:rsidRPr="00D20064" w:rsidRDefault="00BB7B9A" w:rsidP="00BB7B9A">
      <w:pPr>
        <w:ind w:firstLine="567"/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>Для формирования монослоев на поверхности электродов-сенсоров использовалась ЛБ-ванна типа LT-102 производства фирмы «Microtestmachines Co». Поверхностная структура полученных монослоев контролировалась на наноуровне атомно-силовым микроскопом NT-206 той же фирмы. Аналитические исследования проводились при помощи ЭХЛ-анализатора ЭЛАН-3D методом циклической вольтамперометрии с одновр</w:t>
      </w:r>
      <w:r w:rsidRPr="00D20064">
        <w:rPr>
          <w:spacing w:val="-2"/>
          <w:sz w:val="22"/>
          <w:szCs w:val="22"/>
        </w:rPr>
        <w:t>е</w:t>
      </w:r>
      <w:r w:rsidRPr="00D20064">
        <w:rPr>
          <w:spacing w:val="-2"/>
          <w:sz w:val="22"/>
          <w:szCs w:val="22"/>
        </w:rPr>
        <w:t>менной регистрацией интенсивности ЭХЛ [3]. В этих измерениях скорость изменения п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тенциала рабочего электрода составляла 100мВ/с. Для измерения интенсивности люм</w:t>
      </w:r>
      <w:r w:rsidRPr="00D20064">
        <w:rPr>
          <w:spacing w:val="-2"/>
          <w:sz w:val="22"/>
          <w:szCs w:val="22"/>
        </w:rPr>
        <w:t>и</w:t>
      </w:r>
      <w:r w:rsidRPr="00D20064">
        <w:rPr>
          <w:spacing w:val="-2"/>
          <w:sz w:val="22"/>
          <w:szCs w:val="22"/>
        </w:rPr>
        <w:t>несценции использовали фотоэлектронный умножитель с мультищелочным фотокатодом ФЭУ-140 при напряжении на катоде -1400В.</w:t>
      </w:r>
    </w:p>
    <w:p w:rsidR="00BB7B9A" w:rsidRPr="00D20064" w:rsidRDefault="00BB7B9A" w:rsidP="00BB7B9A">
      <w:pPr>
        <w:tabs>
          <w:tab w:val="left" w:pos="567"/>
        </w:tabs>
        <w:ind w:firstLine="567"/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>Технология ЛБ позволяет получить моно- и мультислойные высокоорганизованные пленки с контролируемой толщиной, ориентацией и высокой поверхностной плотностью люминесцентных центров. Однако полиацены, в частности рубрен и ДФА, не являются амфифильными и не способны самостоятельно образовывать однородные и стабильные ленгмюровские монослои на поверхности водной субфазы и, таким образом, ЛБ-пленки. Одним из подходов к решению такой проблемы есть создание ЛБ-пленок смешанных бинарных систем на основе термодинамически стабильных амфифильних мон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мерных или полимерных соединений с иммобилизованными в них молекулами полиаценов [4]. Гла</w:t>
      </w:r>
      <w:r w:rsidRPr="00D20064">
        <w:rPr>
          <w:spacing w:val="-2"/>
          <w:sz w:val="22"/>
          <w:szCs w:val="22"/>
        </w:rPr>
        <w:t>в</w:t>
      </w:r>
      <w:r w:rsidRPr="00D20064">
        <w:rPr>
          <w:spacing w:val="-2"/>
          <w:sz w:val="22"/>
          <w:szCs w:val="22"/>
        </w:rPr>
        <w:t>ное требование к компонентам - способность образовывать фазово-однородную систему. С учетом последнего, в качестве ленгмюрогенных матриц в работе использованы известные ленгмюрогенные как мономерные, так и полимерные соединения - стеариновая ки</w:t>
      </w:r>
      <w:r w:rsidRPr="00D20064">
        <w:rPr>
          <w:spacing w:val="-2"/>
          <w:sz w:val="22"/>
          <w:szCs w:val="22"/>
        </w:rPr>
        <w:t>с</w:t>
      </w:r>
      <w:r w:rsidRPr="00D20064">
        <w:rPr>
          <w:spacing w:val="-2"/>
          <w:sz w:val="22"/>
          <w:szCs w:val="22"/>
        </w:rPr>
        <w:t>лота, октадециловий спирт, полиметилметакрилат (ПММА), полиамидокислота и смесь полиамидокислоты и октадецилового спирта. Для всех этих веществ были исследованы условия формирования и переноса монослоев на прозрачные токопроводящие подложки из смеси оксидов олова и индия (ITO), определены люминесцентные свойства получе</w:t>
      </w:r>
      <w:r w:rsidRPr="00D20064">
        <w:rPr>
          <w:spacing w:val="-2"/>
          <w:sz w:val="22"/>
          <w:szCs w:val="22"/>
        </w:rPr>
        <w:t>н</w:t>
      </w:r>
      <w:r w:rsidRPr="00D20064">
        <w:rPr>
          <w:spacing w:val="-2"/>
          <w:sz w:val="22"/>
          <w:szCs w:val="22"/>
        </w:rPr>
        <w:t>ных ЛБ-пленок и разработана технология создания упорядоченных молекулярных стру</w:t>
      </w:r>
      <w:r w:rsidRPr="00D20064">
        <w:rPr>
          <w:spacing w:val="-2"/>
          <w:sz w:val="22"/>
          <w:szCs w:val="22"/>
        </w:rPr>
        <w:t>к</w:t>
      </w:r>
      <w:r w:rsidRPr="00D20064">
        <w:rPr>
          <w:spacing w:val="-2"/>
          <w:sz w:val="22"/>
          <w:szCs w:val="22"/>
        </w:rPr>
        <w:t>тур с инкорпорированными модельными полиаценами.</w:t>
      </w:r>
    </w:p>
    <w:p w:rsidR="00BB7B9A" w:rsidRPr="00D20064" w:rsidRDefault="00BB7B9A" w:rsidP="00BB7B9A">
      <w:pPr>
        <w:tabs>
          <w:tab w:val="left" w:pos="567"/>
        </w:tabs>
        <w:ind w:firstLine="567"/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>Исследования показали, что во все отобранные матрицы удавалось инкорпорир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вать до 50 мольных процентов модельных полиаценов без нарушения упорядоченности моносл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ев. Самые лучшие результаты были достигнуты при использовании матрицы из ПММА – при одинаковой поверхностной концентрации полиаценов в матрице и одинаковом кол</w:t>
      </w:r>
      <w:r w:rsidRPr="00D20064">
        <w:rPr>
          <w:spacing w:val="-2"/>
          <w:sz w:val="22"/>
          <w:szCs w:val="22"/>
        </w:rPr>
        <w:t>и</w:t>
      </w:r>
      <w:r w:rsidRPr="00D20064">
        <w:rPr>
          <w:spacing w:val="-2"/>
          <w:sz w:val="22"/>
          <w:szCs w:val="22"/>
        </w:rPr>
        <w:t>честве перенесенных на подкладку монослоев интенсивность люминесценции для ЛБ-пленок системы ПММА/рубрен приблизительно в 2,5 раза больше, чем для с</w:t>
      </w:r>
      <w:r w:rsidRPr="00D20064">
        <w:rPr>
          <w:spacing w:val="-2"/>
          <w:sz w:val="22"/>
          <w:szCs w:val="22"/>
        </w:rPr>
        <w:t>и</w:t>
      </w:r>
      <w:r w:rsidRPr="00D20064">
        <w:rPr>
          <w:spacing w:val="-2"/>
          <w:sz w:val="22"/>
          <w:szCs w:val="22"/>
        </w:rPr>
        <w:t>стемы стеариновая кислота/рубрен, которая показала наихудшие результаты. Результаты люминесцентных исследований показали, что фактически в упорядоченную матрицу из ПММА удалось интеркалировать в 2,5 раза больше молекул модельных полиаценов, а их поверхностная концентрация составила (1÷2)∙10</w:t>
      </w:r>
      <w:r w:rsidRPr="00D20064">
        <w:rPr>
          <w:spacing w:val="-2"/>
          <w:sz w:val="22"/>
          <w:szCs w:val="22"/>
          <w:vertAlign w:val="superscript"/>
        </w:rPr>
        <w:t>14</w:t>
      </w:r>
      <w:r w:rsidRPr="00D20064">
        <w:rPr>
          <w:spacing w:val="-2"/>
          <w:sz w:val="22"/>
          <w:szCs w:val="22"/>
        </w:rPr>
        <w:t xml:space="preserve"> см</w:t>
      </w:r>
      <w:r w:rsidRPr="00D20064">
        <w:rPr>
          <w:spacing w:val="-2"/>
          <w:sz w:val="22"/>
          <w:szCs w:val="22"/>
          <w:vertAlign w:val="superscript"/>
        </w:rPr>
        <w:t>-2</w:t>
      </w:r>
      <w:r w:rsidRPr="00D20064">
        <w:rPr>
          <w:spacing w:val="-2"/>
          <w:sz w:val="22"/>
          <w:szCs w:val="22"/>
        </w:rPr>
        <w:t xml:space="preserve"> молекул. В дальнейшем все иссл</w:t>
      </w:r>
      <w:r w:rsidRPr="00D20064">
        <w:rPr>
          <w:spacing w:val="-2"/>
          <w:sz w:val="22"/>
          <w:szCs w:val="22"/>
        </w:rPr>
        <w:t>е</w:t>
      </w:r>
      <w:r w:rsidRPr="00D20064">
        <w:rPr>
          <w:spacing w:val="-2"/>
          <w:sz w:val="22"/>
          <w:szCs w:val="22"/>
        </w:rPr>
        <w:t>дования проводились только для матриц из ПММА.</w:t>
      </w:r>
    </w:p>
    <w:p w:rsidR="00BB7B9A" w:rsidRPr="00D20064" w:rsidRDefault="00BB7B9A" w:rsidP="00BB7B9A">
      <w:pPr>
        <w:ind w:firstLine="567"/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>Анализ приведенного на рис. 1 атомно-силового изображения поверхности ITO-электрода, модифицированного ЛБ-слоями системы ПММА/рубрен, показывает, что полимерные молекулы ПММА свернуты в плоские глобулы размером около 100нм. Возможно, именно этим объясняется существенно большая по сравнению с другими иссл</w:t>
      </w:r>
      <w:r w:rsidRPr="00D20064">
        <w:rPr>
          <w:spacing w:val="-2"/>
          <w:sz w:val="22"/>
          <w:szCs w:val="22"/>
        </w:rPr>
        <w:t>е</w:t>
      </w:r>
      <w:r w:rsidRPr="00D20064">
        <w:rPr>
          <w:spacing w:val="-2"/>
          <w:sz w:val="22"/>
          <w:szCs w:val="22"/>
        </w:rPr>
        <w:t>дованными матрицами поверхностная концентрация модельных полиаценов. Вероятно, молекулы рубрена инкорпорированы между спиральными кольцами вертикально орие</w:t>
      </w:r>
      <w:r w:rsidRPr="00D20064">
        <w:rPr>
          <w:spacing w:val="-2"/>
          <w:sz w:val="22"/>
          <w:szCs w:val="22"/>
        </w:rPr>
        <w:t>н</w:t>
      </w:r>
      <w:r w:rsidRPr="00D20064">
        <w:rPr>
          <w:spacing w:val="-2"/>
          <w:sz w:val="22"/>
          <w:szCs w:val="22"/>
        </w:rPr>
        <w:t>тированных амфифильных мономерных звеньев ПММА.</w:t>
      </w:r>
    </w:p>
    <w:p w:rsidR="00BB7B9A" w:rsidRPr="00FE3F9B" w:rsidRDefault="00BB7B9A" w:rsidP="00BB7B9A">
      <w:pPr>
        <w:jc w:val="center"/>
        <w:rPr>
          <w:rFonts w:eastAsia="SimSun"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696210" cy="2569845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10" cy="256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B9A" w:rsidRPr="00635446" w:rsidRDefault="00BB7B9A" w:rsidP="00BB7B9A">
      <w:pPr>
        <w:ind w:firstLine="540"/>
        <w:jc w:val="center"/>
        <w:rPr>
          <w:sz w:val="22"/>
          <w:szCs w:val="22"/>
        </w:rPr>
      </w:pPr>
      <w:r w:rsidRPr="00635446">
        <w:rPr>
          <w:sz w:val="22"/>
          <w:szCs w:val="22"/>
        </w:rPr>
        <w:t>Рис. 1. Атомно-силовое изображение поверхности ITO электрода, модифицирова</w:t>
      </w:r>
      <w:r w:rsidRPr="00635446">
        <w:rPr>
          <w:sz w:val="22"/>
          <w:szCs w:val="22"/>
        </w:rPr>
        <w:t>н</w:t>
      </w:r>
      <w:r w:rsidRPr="00635446">
        <w:rPr>
          <w:sz w:val="22"/>
          <w:szCs w:val="22"/>
        </w:rPr>
        <w:t>ного ЛБ-слоями системы ПММА/рубрен</w:t>
      </w:r>
    </w:p>
    <w:p w:rsidR="00BB7B9A" w:rsidRPr="00D20064" w:rsidRDefault="00BB7B9A" w:rsidP="00BB7B9A">
      <w:pPr>
        <w:jc w:val="both"/>
        <w:outlineLvl w:val="0"/>
        <w:rPr>
          <w:sz w:val="16"/>
          <w:szCs w:val="16"/>
        </w:rPr>
      </w:pPr>
    </w:p>
    <w:p w:rsidR="00BB7B9A" w:rsidRPr="00D20064" w:rsidRDefault="00BB7B9A" w:rsidP="00BB7B9A">
      <w:pPr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ab/>
        <w:t>ЭХЛ-исследования ЛБ-монослоев на основе ПММА с включенными в них модел</w:t>
      </w:r>
      <w:r w:rsidRPr="00D20064">
        <w:rPr>
          <w:spacing w:val="-2"/>
          <w:sz w:val="22"/>
          <w:szCs w:val="22"/>
        </w:rPr>
        <w:t>ь</w:t>
      </w:r>
      <w:r w:rsidRPr="00D20064">
        <w:rPr>
          <w:spacing w:val="-2"/>
          <w:sz w:val="22"/>
          <w:szCs w:val="22"/>
        </w:rPr>
        <w:t>ными полиаценами (рубрен, ДФА) продемонстрировали возможность включения до (1÷2)∙10</w:t>
      </w:r>
      <w:r w:rsidRPr="00D20064">
        <w:rPr>
          <w:spacing w:val="-2"/>
          <w:sz w:val="22"/>
          <w:szCs w:val="22"/>
          <w:vertAlign w:val="superscript"/>
        </w:rPr>
        <w:t>14</w:t>
      </w:r>
      <w:r w:rsidRPr="00D20064">
        <w:rPr>
          <w:spacing w:val="-2"/>
          <w:sz w:val="22"/>
          <w:szCs w:val="22"/>
        </w:rPr>
        <w:t xml:space="preserve"> см</w:t>
      </w:r>
      <w:r w:rsidRPr="00D20064">
        <w:rPr>
          <w:spacing w:val="-2"/>
          <w:sz w:val="22"/>
          <w:szCs w:val="22"/>
          <w:vertAlign w:val="superscript"/>
        </w:rPr>
        <w:t>-2</w:t>
      </w:r>
      <w:r w:rsidRPr="00D20064">
        <w:rPr>
          <w:spacing w:val="-2"/>
          <w:sz w:val="22"/>
          <w:szCs w:val="22"/>
        </w:rPr>
        <w:t xml:space="preserve"> молекул полиаценов в матрицу из ПММА без нарушения ее упорядоченн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сти. Такое предельное количество соответствует (1,7÷3,3)∙10</w:t>
      </w:r>
      <w:r w:rsidRPr="00D20064">
        <w:rPr>
          <w:spacing w:val="-2"/>
          <w:sz w:val="22"/>
          <w:szCs w:val="22"/>
          <w:vertAlign w:val="superscript"/>
        </w:rPr>
        <w:t>-10</w:t>
      </w:r>
      <w:r w:rsidRPr="00D20064">
        <w:rPr>
          <w:spacing w:val="-2"/>
          <w:sz w:val="22"/>
          <w:szCs w:val="22"/>
        </w:rPr>
        <w:t xml:space="preserve"> молей полиаценов в анализируемой пробе. Зависимости полученного для данного количества полиаценов анал</w:t>
      </w:r>
      <w:r w:rsidRPr="00D20064">
        <w:rPr>
          <w:spacing w:val="-2"/>
          <w:sz w:val="22"/>
          <w:szCs w:val="22"/>
        </w:rPr>
        <w:t>и</w:t>
      </w:r>
      <w:r w:rsidRPr="00D20064">
        <w:rPr>
          <w:spacing w:val="-2"/>
          <w:sz w:val="22"/>
          <w:szCs w:val="22"/>
        </w:rPr>
        <w:t>тического сигнала от приложенного потенциала приведены на рис. 2. При таких условиях аналитический сигнал (фототок ЭХЛ) превышал шум в 16 тысяч раз, что позволяет и</w:t>
      </w:r>
      <w:r w:rsidRPr="00D20064">
        <w:rPr>
          <w:spacing w:val="-2"/>
          <w:sz w:val="22"/>
          <w:szCs w:val="22"/>
        </w:rPr>
        <w:t>с</w:t>
      </w:r>
      <w:r w:rsidRPr="00D20064">
        <w:rPr>
          <w:spacing w:val="-2"/>
          <w:sz w:val="22"/>
          <w:szCs w:val="22"/>
        </w:rPr>
        <w:t>пользовать пробы с соответственно уменьшенным содержанием полиаценов.</w:t>
      </w:r>
    </w:p>
    <w:p w:rsidR="00BB7B9A" w:rsidRPr="00FE3F9B" w:rsidRDefault="00BB7B9A" w:rsidP="00BB7B9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91105" cy="1828800"/>
            <wp:effectExtent l="19050" t="0" r="4445" b="0"/>
            <wp:docPr id="2" name="Рисунок 2" descr="Fig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2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689" t="5199" r="4446" b="2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10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538095" cy="1828800"/>
            <wp:effectExtent l="19050" t="0" r="0" b="0"/>
            <wp:docPr id="3" name="Рисунок 3" descr="Fig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2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219" t="5832" r="4167" b="2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B9A" w:rsidRPr="00FF66AA" w:rsidRDefault="00BB7B9A" w:rsidP="00BB7B9A">
      <w:pPr>
        <w:ind w:firstLine="440"/>
        <w:jc w:val="both"/>
        <w:rPr>
          <w:sz w:val="22"/>
          <w:szCs w:val="22"/>
        </w:rPr>
      </w:pPr>
      <w:r w:rsidRPr="00FF66AA">
        <w:rPr>
          <w:sz w:val="22"/>
          <w:szCs w:val="22"/>
        </w:rPr>
        <w:t xml:space="preserve">                             а)                                                                 б)</w:t>
      </w:r>
    </w:p>
    <w:p w:rsidR="00BB7B9A" w:rsidRDefault="00BB7B9A" w:rsidP="00BB7B9A">
      <w:pPr>
        <w:ind w:firstLine="440"/>
        <w:jc w:val="both"/>
        <w:rPr>
          <w:sz w:val="22"/>
          <w:szCs w:val="22"/>
        </w:rPr>
      </w:pPr>
      <w:r w:rsidRPr="00FF66AA">
        <w:rPr>
          <w:sz w:val="22"/>
          <w:szCs w:val="22"/>
        </w:rPr>
        <w:t>Рис. 2. Анодные вольтамперограммы (ток) и соответствующая эмиссия ЭХЛ (фототок) ІТО электрода площадью 75мм</w:t>
      </w:r>
      <w:r w:rsidRPr="00FF66AA">
        <w:rPr>
          <w:sz w:val="22"/>
          <w:szCs w:val="22"/>
          <w:vertAlign w:val="superscript"/>
        </w:rPr>
        <w:t>2</w:t>
      </w:r>
      <w:r w:rsidRPr="00FF66AA">
        <w:rPr>
          <w:sz w:val="22"/>
          <w:szCs w:val="22"/>
        </w:rPr>
        <w:t>, модифицированного ЛБ-пленками ПММА с инкорпорированным рубреном (а) и ДФА (б) (растворитель - H</w:t>
      </w:r>
      <w:r w:rsidRPr="00FF66AA">
        <w:rPr>
          <w:sz w:val="22"/>
          <w:szCs w:val="22"/>
          <w:vertAlign w:val="subscript"/>
        </w:rPr>
        <w:t>2</w:t>
      </w:r>
      <w:r w:rsidRPr="00FF66AA">
        <w:rPr>
          <w:sz w:val="22"/>
          <w:szCs w:val="22"/>
        </w:rPr>
        <w:t>O; сореагент – 10мМ трипропиламин; фоновый электролит - 0,1М LiClO</w:t>
      </w:r>
      <w:r w:rsidRPr="00FF66AA">
        <w:rPr>
          <w:sz w:val="22"/>
          <w:szCs w:val="22"/>
          <w:vertAlign w:val="subscript"/>
        </w:rPr>
        <w:t>4</w:t>
      </w:r>
      <w:r w:rsidRPr="00FF66AA">
        <w:rPr>
          <w:sz w:val="22"/>
          <w:szCs w:val="22"/>
        </w:rPr>
        <w:t>)</w:t>
      </w:r>
    </w:p>
    <w:p w:rsidR="00BB7B9A" w:rsidRPr="00D20064" w:rsidRDefault="00BB7B9A" w:rsidP="00BB7B9A">
      <w:pPr>
        <w:ind w:firstLine="440"/>
        <w:jc w:val="both"/>
        <w:rPr>
          <w:sz w:val="16"/>
          <w:szCs w:val="16"/>
        </w:rPr>
      </w:pPr>
    </w:p>
    <w:p w:rsidR="00BB7B9A" w:rsidRPr="00D20064" w:rsidRDefault="00BB7B9A" w:rsidP="00BB7B9A">
      <w:pPr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ab/>
        <w:t>Как показали исследования, максимальная интенсивность ЭХЛ достигается при количестве ЛБ-монослоев равном трем. Однако, с учетом того, что каждый дополнител</w:t>
      </w:r>
      <w:r w:rsidRPr="00D20064">
        <w:rPr>
          <w:spacing w:val="-2"/>
          <w:sz w:val="22"/>
          <w:szCs w:val="22"/>
        </w:rPr>
        <w:t>ь</w:t>
      </w:r>
      <w:r w:rsidRPr="00D20064">
        <w:rPr>
          <w:spacing w:val="-2"/>
          <w:sz w:val="22"/>
          <w:szCs w:val="22"/>
        </w:rPr>
        <w:t>ный слой требует соответствующего увеличения количества полиаценов в пробе, максимальная чувств</w:t>
      </w:r>
      <w:r w:rsidRPr="00D20064">
        <w:rPr>
          <w:spacing w:val="-2"/>
          <w:sz w:val="22"/>
          <w:szCs w:val="22"/>
        </w:rPr>
        <w:t>и</w:t>
      </w:r>
      <w:r w:rsidRPr="00D20064">
        <w:rPr>
          <w:spacing w:val="-2"/>
          <w:sz w:val="22"/>
          <w:szCs w:val="22"/>
        </w:rPr>
        <w:t>тельность анализа достигается при одном ЛБ-монослое.</w:t>
      </w:r>
    </w:p>
    <w:p w:rsidR="00BB7B9A" w:rsidRPr="00D20064" w:rsidRDefault="00BB7B9A" w:rsidP="00BB7B9A">
      <w:pPr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ab/>
        <w:t>Для получения ЭХЛ в водных растворах, где электролиз проводится только в ано</w:t>
      </w:r>
      <w:r w:rsidRPr="00D20064">
        <w:rPr>
          <w:spacing w:val="-2"/>
          <w:sz w:val="22"/>
          <w:szCs w:val="22"/>
        </w:rPr>
        <w:t>д</w:t>
      </w:r>
      <w:r w:rsidRPr="00D20064">
        <w:rPr>
          <w:spacing w:val="-2"/>
          <w:sz w:val="22"/>
          <w:szCs w:val="22"/>
        </w:rPr>
        <w:t>ной области, в состав раствора необходимо вводить сореагент [2]. Наиболее часто в качестве сореагента используют трипропиламин. Максимальный аналитический сигнал д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стигается при концентрации трипропиламина равной 10мМ.</w:t>
      </w:r>
    </w:p>
    <w:p w:rsidR="00BB7B9A" w:rsidRPr="00D20064" w:rsidRDefault="00BB7B9A" w:rsidP="00BB7B9A">
      <w:pPr>
        <w:jc w:val="both"/>
        <w:outlineLvl w:val="0"/>
        <w:rPr>
          <w:b/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ab/>
      </w:r>
      <w:r w:rsidRPr="00D20064">
        <w:rPr>
          <w:b/>
          <w:spacing w:val="-2"/>
          <w:sz w:val="22"/>
          <w:szCs w:val="22"/>
        </w:rPr>
        <w:t>Выводы</w:t>
      </w:r>
    </w:p>
    <w:p w:rsidR="00BB7B9A" w:rsidRPr="00D20064" w:rsidRDefault="00BB7B9A" w:rsidP="00BB7B9A">
      <w:pPr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ab/>
        <w:t>Полученные на модельных системах экспериментальные результаты подтверждают значительное увеличение чувствительности электрохемилюминесцентного определения полиаценов за счет использования предложенной микросенсорной технологии. Исслед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 xml:space="preserve">ванная технология может быть использована в высокочувствительных ЭХЛ-сенсорах, позволяющих определять </w:t>
      </w:r>
      <w:r w:rsidRPr="00D20064">
        <w:rPr>
          <w:spacing w:val="-2"/>
          <w:sz w:val="22"/>
          <w:szCs w:val="22"/>
        </w:rPr>
        <w:lastRenderedPageBreak/>
        <w:t>полиацены при их содержании в анализируемой пробе в инте</w:t>
      </w:r>
      <w:r w:rsidRPr="00D20064">
        <w:rPr>
          <w:spacing w:val="-2"/>
          <w:sz w:val="22"/>
          <w:szCs w:val="22"/>
        </w:rPr>
        <w:t>р</w:t>
      </w:r>
      <w:r w:rsidRPr="00D20064">
        <w:rPr>
          <w:spacing w:val="-2"/>
          <w:sz w:val="22"/>
          <w:szCs w:val="22"/>
        </w:rPr>
        <w:t>вале 10</w:t>
      </w:r>
      <w:r w:rsidRPr="00D20064">
        <w:rPr>
          <w:spacing w:val="-2"/>
          <w:sz w:val="22"/>
          <w:szCs w:val="22"/>
          <w:vertAlign w:val="superscript"/>
        </w:rPr>
        <w:t>-10</w:t>
      </w:r>
      <w:r w:rsidRPr="00D20064">
        <w:rPr>
          <w:spacing w:val="-2"/>
          <w:sz w:val="22"/>
          <w:szCs w:val="22"/>
        </w:rPr>
        <w:t>- 10</w:t>
      </w:r>
      <w:r w:rsidRPr="00D20064">
        <w:rPr>
          <w:spacing w:val="-2"/>
          <w:sz w:val="22"/>
          <w:szCs w:val="22"/>
          <w:vertAlign w:val="superscript"/>
        </w:rPr>
        <w:t>-13</w:t>
      </w:r>
      <w:r w:rsidRPr="00D20064">
        <w:rPr>
          <w:spacing w:val="-2"/>
          <w:sz w:val="22"/>
          <w:szCs w:val="22"/>
        </w:rPr>
        <w:t xml:space="preserve"> молей. Проведенные на модельных системах исследования позволили найти оптимальные условия определения полиаценов: материал прозрачного электрода-сенсора – ITO с удельным сопротивлением не более 30 Ом/см</w:t>
      </w:r>
      <w:r w:rsidRPr="00D20064">
        <w:rPr>
          <w:spacing w:val="-2"/>
          <w:sz w:val="22"/>
          <w:szCs w:val="22"/>
          <w:vertAlign w:val="superscript"/>
        </w:rPr>
        <w:t>2</w:t>
      </w:r>
      <w:r w:rsidRPr="00D20064">
        <w:rPr>
          <w:spacing w:val="-2"/>
          <w:sz w:val="22"/>
          <w:szCs w:val="22"/>
        </w:rPr>
        <w:t>; материал ЛБ-матрицы – ПММА; количество ЛБ-монослоев – 1; поверхностное давление при нанесении моносл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ев - 14÷16 мН/м; сореагент – 10мМ трипропиламин.</w:t>
      </w:r>
    </w:p>
    <w:p w:rsidR="00BB7B9A" w:rsidRPr="00D20064" w:rsidRDefault="00BB7B9A" w:rsidP="00BB7B9A">
      <w:pPr>
        <w:jc w:val="both"/>
        <w:outlineLvl w:val="0"/>
        <w:rPr>
          <w:spacing w:val="-2"/>
          <w:sz w:val="22"/>
          <w:szCs w:val="22"/>
        </w:rPr>
      </w:pPr>
      <w:r w:rsidRPr="00D20064">
        <w:rPr>
          <w:spacing w:val="-2"/>
          <w:sz w:val="22"/>
          <w:szCs w:val="22"/>
        </w:rPr>
        <w:tab/>
        <w:t>Данная работа выполнена по программе международного проекта 5067 Украинск</w:t>
      </w:r>
      <w:r w:rsidRPr="00D20064">
        <w:rPr>
          <w:spacing w:val="-2"/>
          <w:sz w:val="22"/>
          <w:szCs w:val="22"/>
        </w:rPr>
        <w:t>о</w:t>
      </w:r>
      <w:r w:rsidRPr="00D20064">
        <w:rPr>
          <w:spacing w:val="-2"/>
          <w:sz w:val="22"/>
          <w:szCs w:val="22"/>
        </w:rPr>
        <w:t>го научно-технологического центра, руководитель – проф. Рожицкий Н.Н.</w:t>
      </w:r>
    </w:p>
    <w:p w:rsidR="00BB7B9A" w:rsidRPr="004967E9" w:rsidRDefault="00BB7B9A" w:rsidP="00BB7B9A">
      <w:pPr>
        <w:jc w:val="center"/>
      </w:pPr>
      <w:r>
        <w:rPr>
          <w:noProof/>
        </w:rPr>
        <w:drawing>
          <wp:inline distT="0" distB="0" distL="0" distR="0">
            <wp:extent cx="3736340" cy="23647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5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340" cy="236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B9A" w:rsidRPr="0015288B" w:rsidRDefault="00BB7B9A" w:rsidP="00BB7B9A">
      <w:pPr>
        <w:ind w:firstLine="540"/>
        <w:jc w:val="center"/>
        <w:rPr>
          <w:sz w:val="22"/>
          <w:szCs w:val="22"/>
        </w:rPr>
      </w:pPr>
      <w:r w:rsidRPr="0015288B">
        <w:rPr>
          <w:sz w:val="22"/>
          <w:szCs w:val="22"/>
        </w:rPr>
        <w:t>Рис. 3 – Зависимость интенсивности ЕХЛ (фототок) разработанного сенсора от п</w:t>
      </w:r>
      <w:r w:rsidRPr="0015288B">
        <w:rPr>
          <w:sz w:val="22"/>
          <w:szCs w:val="22"/>
        </w:rPr>
        <w:t>о</w:t>
      </w:r>
      <w:r w:rsidRPr="0015288B">
        <w:rPr>
          <w:sz w:val="22"/>
          <w:szCs w:val="22"/>
        </w:rPr>
        <w:t>верхностной концентрации модельного полиацена. Поверхностная структура – 1 слой ПММА/рубрен; активная площадь рабочего электрода 0,75см</w:t>
      </w:r>
      <w:r w:rsidRPr="0015288B">
        <w:rPr>
          <w:sz w:val="22"/>
          <w:szCs w:val="22"/>
          <w:vertAlign w:val="superscript"/>
        </w:rPr>
        <w:t>2</w:t>
      </w:r>
      <w:r w:rsidRPr="0015288B">
        <w:rPr>
          <w:sz w:val="22"/>
          <w:szCs w:val="22"/>
        </w:rPr>
        <w:t>; растворитель – вода; фоновый электролит - 0,1M NaClO</w:t>
      </w:r>
      <w:r w:rsidRPr="0015288B">
        <w:rPr>
          <w:sz w:val="22"/>
          <w:szCs w:val="22"/>
          <w:vertAlign w:val="subscript"/>
        </w:rPr>
        <w:t>4</w:t>
      </w:r>
      <w:r w:rsidRPr="0015288B">
        <w:rPr>
          <w:sz w:val="22"/>
          <w:szCs w:val="22"/>
        </w:rPr>
        <w:t>; сореагент – 10</w:t>
      </w:r>
      <w:r>
        <w:rPr>
          <w:sz w:val="22"/>
          <w:szCs w:val="22"/>
        </w:rPr>
        <w:t>мМ</w:t>
      </w:r>
      <w:r w:rsidRPr="0015288B">
        <w:rPr>
          <w:sz w:val="22"/>
          <w:szCs w:val="22"/>
        </w:rPr>
        <w:t xml:space="preserve"> трипропил</w:t>
      </w:r>
      <w:r w:rsidRPr="0015288B">
        <w:rPr>
          <w:sz w:val="22"/>
          <w:szCs w:val="22"/>
        </w:rPr>
        <w:t>а</w:t>
      </w:r>
      <w:r w:rsidRPr="0015288B">
        <w:rPr>
          <w:sz w:val="22"/>
          <w:szCs w:val="22"/>
        </w:rPr>
        <w:t>мин.</w:t>
      </w:r>
    </w:p>
    <w:p w:rsidR="00BB7B9A" w:rsidRPr="00977A6C" w:rsidRDefault="00BB7B9A" w:rsidP="00BB7B9A">
      <w:pPr>
        <w:jc w:val="both"/>
        <w:outlineLvl w:val="0"/>
        <w:rPr>
          <w:sz w:val="22"/>
          <w:szCs w:val="22"/>
        </w:rPr>
      </w:pPr>
    </w:p>
    <w:p w:rsidR="00BB7B9A" w:rsidRPr="00D20064" w:rsidRDefault="00BB7B9A" w:rsidP="00BB7B9A">
      <w:pPr>
        <w:jc w:val="both"/>
        <w:outlineLvl w:val="0"/>
        <w:rPr>
          <w:sz w:val="22"/>
          <w:szCs w:val="22"/>
          <w:lang w:val="uk-UA"/>
        </w:rPr>
      </w:pPr>
      <w:r w:rsidRPr="00977A6C">
        <w:rPr>
          <w:b/>
          <w:sz w:val="22"/>
          <w:szCs w:val="22"/>
        </w:rPr>
        <w:t>Список литературы</w:t>
      </w:r>
      <w:r>
        <w:rPr>
          <w:b/>
          <w:sz w:val="22"/>
          <w:szCs w:val="22"/>
          <w:lang w:val="uk-UA"/>
        </w:rPr>
        <w:t>:</w:t>
      </w:r>
    </w:p>
    <w:p w:rsidR="00BB7B9A" w:rsidRPr="00C83B51" w:rsidRDefault="00BB7B9A" w:rsidP="00BB7B9A">
      <w:pPr>
        <w:tabs>
          <w:tab w:val="left" w:pos="0"/>
        </w:tabs>
        <w:jc w:val="both"/>
        <w:outlineLvl w:val="0"/>
        <w:rPr>
          <w:sz w:val="22"/>
          <w:szCs w:val="22"/>
        </w:rPr>
      </w:pPr>
      <w:r w:rsidRPr="00977A6C">
        <w:rPr>
          <w:sz w:val="22"/>
          <w:szCs w:val="22"/>
          <w:lang w:val="uk-UA"/>
        </w:rPr>
        <w:t xml:space="preserve">1. </w:t>
      </w:r>
      <w:r w:rsidRPr="00997E89">
        <w:rPr>
          <w:sz w:val="22"/>
          <w:szCs w:val="22"/>
        </w:rPr>
        <w:t>Рожицкий, Н.Н. Электрохимическая люминесценция [Текст] : монография / Н. Н. Рожицкий, А. И. Бых, М. А. Красноголовец. — Х. : ХТУРЭ, 2000. — 320 с. — ISBN 5-7763-2728-8.</w:t>
      </w:r>
    </w:p>
    <w:p w:rsidR="00BB7B9A" w:rsidRPr="00DE28AE" w:rsidRDefault="00BB7B9A" w:rsidP="00BB7B9A">
      <w:pPr>
        <w:tabs>
          <w:tab w:val="left" w:pos="0"/>
        </w:tabs>
        <w:jc w:val="both"/>
        <w:outlineLvl w:val="0"/>
        <w:rPr>
          <w:iCs/>
          <w:sz w:val="22"/>
          <w:szCs w:val="22"/>
          <w:lang w:val="en-US"/>
        </w:rPr>
      </w:pPr>
      <w:r w:rsidRPr="00DE28AE">
        <w:rPr>
          <w:sz w:val="22"/>
          <w:szCs w:val="22"/>
          <w:lang w:val="en-US"/>
        </w:rPr>
        <w:t xml:space="preserve">2. </w:t>
      </w:r>
      <w:r w:rsidRPr="00DE28AE">
        <w:rPr>
          <w:iCs/>
          <w:sz w:val="22"/>
          <w:szCs w:val="22"/>
          <w:lang w:val="en-US"/>
        </w:rPr>
        <w:t>Zholudov, Y. Aqueous electrochemiluminescence of polycyclic aromatic hydrocarbons immobilized into Langmuir-Blodgett film at the electrode [</w:t>
      </w:r>
      <w:r w:rsidRPr="00997E89">
        <w:rPr>
          <w:iCs/>
          <w:sz w:val="22"/>
          <w:szCs w:val="22"/>
        </w:rPr>
        <w:t>Текст</w:t>
      </w:r>
      <w:r w:rsidRPr="00DE28AE">
        <w:rPr>
          <w:iCs/>
          <w:sz w:val="22"/>
          <w:szCs w:val="22"/>
          <w:lang w:val="en-US"/>
        </w:rPr>
        <w:t xml:space="preserve">] / Y. Zholudov, D. Snizhko, A. Kukoba, H. Bilash, M. Rozhitskii // Electrochimica Acta. — 2008. — Vol. 54, Iss. 2, — </w:t>
      </w:r>
      <w:r w:rsidRPr="00997E89">
        <w:rPr>
          <w:iCs/>
          <w:sz w:val="22"/>
          <w:szCs w:val="22"/>
        </w:rPr>
        <w:t>Р</w:t>
      </w:r>
      <w:r w:rsidRPr="00DE28AE">
        <w:rPr>
          <w:iCs/>
          <w:sz w:val="22"/>
          <w:szCs w:val="22"/>
          <w:lang w:val="en-US"/>
        </w:rPr>
        <w:t>. 360—363.</w:t>
      </w:r>
    </w:p>
    <w:p w:rsidR="00BB7B9A" w:rsidRPr="00DE28AE" w:rsidRDefault="00BB7B9A" w:rsidP="00BB7B9A">
      <w:pPr>
        <w:tabs>
          <w:tab w:val="left" w:pos="0"/>
        </w:tabs>
        <w:jc w:val="both"/>
        <w:outlineLvl w:val="0"/>
        <w:rPr>
          <w:iCs/>
          <w:sz w:val="22"/>
          <w:szCs w:val="22"/>
          <w:lang w:val="en-US"/>
        </w:rPr>
      </w:pPr>
      <w:r w:rsidRPr="00DE28AE">
        <w:rPr>
          <w:sz w:val="22"/>
          <w:szCs w:val="22"/>
          <w:lang w:val="en-US"/>
        </w:rPr>
        <w:t xml:space="preserve">3. </w:t>
      </w:r>
      <w:r w:rsidRPr="00997E89">
        <w:rPr>
          <w:iCs/>
          <w:sz w:val="22"/>
          <w:szCs w:val="22"/>
          <w:lang w:val="uk-UA"/>
        </w:rPr>
        <w:t>Жолудов, Ю.Т. Електрохемілюмінесцентний аналізатор ЕЛАН-3d для біомеди</w:t>
      </w:r>
      <w:r w:rsidRPr="00997E89">
        <w:rPr>
          <w:iCs/>
          <w:sz w:val="22"/>
          <w:szCs w:val="22"/>
          <w:lang w:val="uk-UA"/>
        </w:rPr>
        <w:t>ч</w:t>
      </w:r>
      <w:r w:rsidRPr="00997E89">
        <w:rPr>
          <w:iCs/>
          <w:sz w:val="22"/>
          <w:szCs w:val="22"/>
          <w:lang w:val="uk-UA"/>
        </w:rPr>
        <w:t xml:space="preserve">них досліджень </w:t>
      </w:r>
      <w:r w:rsidRPr="00DE28AE">
        <w:rPr>
          <w:iCs/>
          <w:sz w:val="22"/>
          <w:szCs w:val="22"/>
          <w:lang w:val="en-US"/>
        </w:rPr>
        <w:t>[</w:t>
      </w:r>
      <w:r w:rsidRPr="00997E89">
        <w:rPr>
          <w:iCs/>
          <w:sz w:val="22"/>
          <w:szCs w:val="22"/>
        </w:rPr>
        <w:t>Текст</w:t>
      </w:r>
      <w:r w:rsidRPr="00DE28AE">
        <w:rPr>
          <w:iCs/>
          <w:sz w:val="22"/>
          <w:szCs w:val="22"/>
          <w:lang w:val="en-US"/>
        </w:rPr>
        <w:t xml:space="preserve">] / </w:t>
      </w:r>
      <w:r w:rsidRPr="00997E89">
        <w:rPr>
          <w:iCs/>
          <w:sz w:val="22"/>
          <w:szCs w:val="22"/>
          <w:lang w:val="uk-UA"/>
        </w:rPr>
        <w:t>Ю.</w:t>
      </w:r>
      <w:r w:rsidRPr="00DE28AE">
        <w:rPr>
          <w:iCs/>
          <w:sz w:val="22"/>
          <w:szCs w:val="22"/>
          <w:lang w:val="en-US"/>
        </w:rPr>
        <w:t xml:space="preserve"> </w:t>
      </w:r>
      <w:r w:rsidRPr="00997E89">
        <w:rPr>
          <w:iCs/>
          <w:sz w:val="22"/>
          <w:szCs w:val="22"/>
          <w:lang w:val="uk-UA"/>
        </w:rPr>
        <w:t>Т. Жолудов, Д.</w:t>
      </w:r>
      <w:r w:rsidRPr="00DE28AE">
        <w:rPr>
          <w:iCs/>
          <w:sz w:val="22"/>
          <w:szCs w:val="22"/>
          <w:lang w:val="en-US"/>
        </w:rPr>
        <w:t xml:space="preserve"> </w:t>
      </w:r>
      <w:r w:rsidRPr="00997E89">
        <w:rPr>
          <w:iCs/>
          <w:sz w:val="22"/>
          <w:szCs w:val="22"/>
          <w:lang w:val="uk-UA"/>
        </w:rPr>
        <w:t>В. Сніжко, А.</w:t>
      </w:r>
      <w:r w:rsidRPr="00DE28AE">
        <w:rPr>
          <w:iCs/>
          <w:sz w:val="22"/>
          <w:szCs w:val="22"/>
          <w:lang w:val="en-US"/>
        </w:rPr>
        <w:t xml:space="preserve"> </w:t>
      </w:r>
      <w:r w:rsidRPr="00997E89">
        <w:rPr>
          <w:iCs/>
          <w:sz w:val="22"/>
          <w:szCs w:val="22"/>
          <w:lang w:val="uk-UA"/>
        </w:rPr>
        <w:t>В. Кукоба, О.</w:t>
      </w:r>
      <w:r w:rsidRPr="00DE28AE">
        <w:rPr>
          <w:iCs/>
          <w:sz w:val="22"/>
          <w:szCs w:val="22"/>
          <w:lang w:val="en-US"/>
        </w:rPr>
        <w:t xml:space="preserve"> </w:t>
      </w:r>
      <w:r w:rsidRPr="00997E89">
        <w:rPr>
          <w:iCs/>
          <w:sz w:val="22"/>
          <w:szCs w:val="22"/>
          <w:lang w:val="uk-UA"/>
        </w:rPr>
        <w:t>М. Білаш, М.</w:t>
      </w:r>
      <w:r w:rsidRPr="00DE28AE">
        <w:rPr>
          <w:iCs/>
          <w:sz w:val="22"/>
          <w:szCs w:val="22"/>
          <w:lang w:val="en-US"/>
        </w:rPr>
        <w:t xml:space="preserve"> </w:t>
      </w:r>
      <w:r w:rsidRPr="00997E89">
        <w:rPr>
          <w:iCs/>
          <w:sz w:val="22"/>
          <w:szCs w:val="22"/>
          <w:lang w:val="uk-UA"/>
        </w:rPr>
        <w:t xml:space="preserve">М. Рожицький // Радіотехніка: Всеукр. міжвід. наук.-техн. зб. </w:t>
      </w:r>
      <w:r w:rsidRPr="00DE28AE">
        <w:rPr>
          <w:iCs/>
          <w:sz w:val="22"/>
          <w:szCs w:val="22"/>
          <w:lang w:val="en-US"/>
        </w:rPr>
        <w:t>—</w:t>
      </w:r>
      <w:r w:rsidRPr="00997E89">
        <w:rPr>
          <w:iCs/>
          <w:sz w:val="22"/>
          <w:szCs w:val="22"/>
          <w:lang w:val="uk-UA"/>
        </w:rPr>
        <w:t xml:space="preserve"> 2009. </w:t>
      </w:r>
      <w:r w:rsidRPr="00DE28AE">
        <w:rPr>
          <w:iCs/>
          <w:sz w:val="22"/>
          <w:szCs w:val="22"/>
          <w:lang w:val="en-US"/>
        </w:rPr>
        <w:t>—</w:t>
      </w:r>
      <w:r w:rsidRPr="00997E89">
        <w:rPr>
          <w:iCs/>
          <w:sz w:val="22"/>
          <w:szCs w:val="22"/>
          <w:lang w:val="uk-UA"/>
        </w:rPr>
        <w:t xml:space="preserve"> Вип. 158. </w:t>
      </w:r>
      <w:r w:rsidRPr="00DE28AE">
        <w:rPr>
          <w:iCs/>
          <w:sz w:val="22"/>
          <w:szCs w:val="22"/>
          <w:lang w:val="en-US"/>
        </w:rPr>
        <w:t>—</w:t>
      </w:r>
      <w:r w:rsidRPr="00997E89">
        <w:rPr>
          <w:iCs/>
          <w:sz w:val="22"/>
          <w:szCs w:val="22"/>
          <w:lang w:val="uk-UA"/>
        </w:rPr>
        <w:t xml:space="preserve"> С. 180</w:t>
      </w:r>
      <w:r w:rsidRPr="00DE28AE">
        <w:rPr>
          <w:iCs/>
          <w:sz w:val="22"/>
          <w:szCs w:val="22"/>
          <w:lang w:val="en-US"/>
        </w:rPr>
        <w:t>—</w:t>
      </w:r>
      <w:r w:rsidRPr="00997E89">
        <w:rPr>
          <w:iCs/>
          <w:sz w:val="22"/>
          <w:szCs w:val="22"/>
          <w:lang w:val="uk-UA"/>
        </w:rPr>
        <w:t>186.</w:t>
      </w:r>
    </w:p>
    <w:p w:rsidR="00BB7B9A" w:rsidRDefault="00BB7B9A" w:rsidP="00BB7B9A">
      <w:pPr>
        <w:tabs>
          <w:tab w:val="left" w:pos="0"/>
        </w:tabs>
        <w:jc w:val="both"/>
        <w:outlineLvl w:val="0"/>
        <w:rPr>
          <w:iCs/>
          <w:sz w:val="22"/>
          <w:szCs w:val="22"/>
        </w:rPr>
      </w:pPr>
      <w:r>
        <w:rPr>
          <w:sz w:val="22"/>
          <w:szCs w:val="22"/>
        </w:rPr>
        <w:t>4</w:t>
      </w:r>
      <w:r w:rsidRPr="00977A6C">
        <w:rPr>
          <w:sz w:val="22"/>
          <w:szCs w:val="22"/>
        </w:rPr>
        <w:t xml:space="preserve">. </w:t>
      </w:r>
      <w:r w:rsidRPr="00997E89">
        <w:rPr>
          <w:iCs/>
          <w:sz w:val="22"/>
          <w:szCs w:val="22"/>
        </w:rPr>
        <w:t>Водолажский, К. Б. Фазовые состояния бинарных монослоев полиметилметакр</w:t>
      </w:r>
      <w:r w:rsidRPr="00997E89">
        <w:rPr>
          <w:iCs/>
          <w:sz w:val="22"/>
          <w:szCs w:val="22"/>
        </w:rPr>
        <w:t>и</w:t>
      </w:r>
      <w:r w:rsidRPr="00997E89">
        <w:rPr>
          <w:iCs/>
          <w:sz w:val="22"/>
          <w:szCs w:val="22"/>
        </w:rPr>
        <w:t>лат / низкомолекулярный органический люминофор [Текст] / К. Б. Водолажский, Н. И. Воронкина, А. В. Толмачев // Журнал Физической Химии. — 2002. — Т. 76, №11. — С. 1970—1974.</w:t>
      </w:r>
    </w:p>
    <w:p w:rsidR="00DC326A" w:rsidRDefault="00DC326A"/>
    <w:sectPr w:rsidR="00DC326A" w:rsidSect="00DC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BB7B9A"/>
    <w:rsid w:val="00BB7B9A"/>
    <w:rsid w:val="00DC3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BB7B9A"/>
    <w:pPr>
      <w:keepNext/>
      <w:jc w:val="center"/>
      <w:outlineLvl w:val="3"/>
    </w:pPr>
    <w:rPr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B7B9A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styleId="a3">
    <w:name w:val="Hyperlink"/>
    <w:rsid w:val="00BB7B9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B7B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7B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rzh@kture.kharkov.u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1784</Words>
  <Characters>10169</Characters>
  <Application>Microsoft Office Word</Application>
  <DocSecurity>0</DocSecurity>
  <Lines>84</Lines>
  <Paragraphs>23</Paragraphs>
  <ScaleCrop>false</ScaleCrop>
  <Company>Mi5</Company>
  <LinksUpToDate>false</LinksUpToDate>
  <CharactersWithSpaces>11930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2012-11-29T12:35:00Z</dcterms:created>
  <dcterms:modified xsi:type="dcterms:W3CDTF">2012-11-29T12:36:00Z</dcterms:modified>
</cp:coreProperties>
</file>