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7844" w:rsidRPr="00C01AFF" w:rsidRDefault="00177844" w:rsidP="00177844">
      <w:pPr>
        <w:jc w:val="center"/>
        <w:rPr>
          <w:rFonts w:eastAsia="Calibri"/>
          <w:b/>
          <w:sz w:val="22"/>
          <w:szCs w:val="22"/>
          <w:shd w:val="clear" w:color="auto" w:fill="FFFFFF"/>
          <w:lang w:eastAsia="en-US"/>
        </w:rPr>
      </w:pPr>
      <w:r w:rsidRPr="00C01AFF">
        <w:rPr>
          <w:rFonts w:eastAsia="Calibri"/>
          <w:b/>
          <w:sz w:val="22"/>
          <w:szCs w:val="22"/>
          <w:shd w:val="clear" w:color="auto" w:fill="FFFFFF"/>
          <w:lang w:eastAsia="en-US"/>
        </w:rPr>
        <w:t>ИССЛЕДОВАНИЕ ОПТИЧЕСКИХ И ЭЛЕКТРИЧЕСКИХ ПАРАМЕТРОВ ТОНКИХ ПЛЕНОК In</w:t>
      </w:r>
      <w:r w:rsidRPr="00C01AFF">
        <w:rPr>
          <w:rFonts w:eastAsia="Calibri"/>
          <w:b/>
          <w:sz w:val="22"/>
          <w:szCs w:val="22"/>
          <w:shd w:val="clear" w:color="auto" w:fill="FFFFFF"/>
          <w:vertAlign w:val="subscript"/>
          <w:lang w:eastAsia="en-US"/>
        </w:rPr>
        <w:t>2</w:t>
      </w:r>
      <w:r w:rsidRPr="00C01AFF">
        <w:rPr>
          <w:rFonts w:eastAsia="Calibri"/>
          <w:b/>
          <w:sz w:val="22"/>
          <w:szCs w:val="22"/>
          <w:shd w:val="clear" w:color="auto" w:fill="FFFFFF"/>
          <w:lang w:eastAsia="en-US"/>
        </w:rPr>
        <w:t>O</w:t>
      </w:r>
      <w:r w:rsidRPr="00C01AFF">
        <w:rPr>
          <w:rFonts w:eastAsia="Calibri"/>
          <w:b/>
          <w:sz w:val="22"/>
          <w:szCs w:val="22"/>
          <w:shd w:val="clear" w:color="auto" w:fill="FFFFFF"/>
          <w:vertAlign w:val="subscript"/>
          <w:lang w:eastAsia="en-US"/>
        </w:rPr>
        <w:t>3</w:t>
      </w:r>
      <w:r w:rsidRPr="00C01AFF">
        <w:rPr>
          <w:rFonts w:eastAsia="Calibri"/>
          <w:b/>
          <w:sz w:val="22"/>
          <w:szCs w:val="22"/>
          <w:shd w:val="clear" w:color="auto" w:fill="FFFFFF"/>
          <w:lang w:eastAsia="en-US"/>
        </w:rPr>
        <w:t>/SnO</w:t>
      </w:r>
      <w:r w:rsidRPr="00C01AFF">
        <w:rPr>
          <w:rFonts w:eastAsia="Calibri"/>
          <w:b/>
          <w:sz w:val="22"/>
          <w:szCs w:val="22"/>
          <w:shd w:val="clear" w:color="auto" w:fill="FFFFFF"/>
          <w:vertAlign w:val="subscript"/>
          <w:lang w:eastAsia="en-US"/>
        </w:rPr>
        <w:t>2</w:t>
      </w:r>
      <w:r w:rsidRPr="00C01AFF">
        <w:rPr>
          <w:rFonts w:eastAsia="Calibri"/>
          <w:b/>
          <w:sz w:val="22"/>
          <w:szCs w:val="22"/>
          <w:shd w:val="clear" w:color="auto" w:fill="FFFFFF"/>
          <w:lang w:eastAsia="en-US"/>
        </w:rPr>
        <w:t>.</w:t>
      </w:r>
    </w:p>
    <w:p w:rsidR="00177844" w:rsidRPr="00C01AFF" w:rsidRDefault="00177844" w:rsidP="00177844">
      <w:pPr>
        <w:jc w:val="center"/>
        <w:rPr>
          <w:rFonts w:eastAsia="Calibri"/>
          <w:sz w:val="22"/>
          <w:szCs w:val="22"/>
          <w:lang w:eastAsia="en-US"/>
        </w:rPr>
      </w:pPr>
      <w:r w:rsidRPr="00C01AFF">
        <w:rPr>
          <w:rFonts w:eastAsia="Calibri"/>
          <w:sz w:val="22"/>
          <w:szCs w:val="22"/>
          <w:lang w:eastAsia="en-US"/>
        </w:rPr>
        <w:t>Слипченко Н.И., Письменецкий В.А., Герасименко Н.В., Антонова В.А., Костышин Я.Я.</w:t>
      </w:r>
    </w:p>
    <w:p w:rsidR="00177844" w:rsidRPr="00C01AFF" w:rsidRDefault="00177844" w:rsidP="00177844">
      <w:pPr>
        <w:jc w:val="center"/>
        <w:rPr>
          <w:rFonts w:eastAsia="Calibri"/>
          <w:sz w:val="22"/>
          <w:szCs w:val="22"/>
          <w:lang w:eastAsia="en-US"/>
        </w:rPr>
      </w:pPr>
      <w:r w:rsidRPr="00C01AFF">
        <w:rPr>
          <w:rFonts w:eastAsia="Calibri"/>
          <w:sz w:val="22"/>
          <w:szCs w:val="22"/>
          <w:lang w:eastAsia="en-US"/>
        </w:rPr>
        <w:t>Харьковский национальный университет радиоэлектроники</w:t>
      </w:r>
    </w:p>
    <w:p w:rsidR="00177844" w:rsidRPr="00177844" w:rsidRDefault="00177844" w:rsidP="00177844">
      <w:pPr>
        <w:jc w:val="center"/>
        <w:rPr>
          <w:rFonts w:eastAsia="Calibri"/>
          <w:sz w:val="22"/>
          <w:szCs w:val="22"/>
          <w:lang w:eastAsia="en-US"/>
        </w:rPr>
      </w:pPr>
      <w:r w:rsidRPr="00C01AFF">
        <w:rPr>
          <w:rFonts w:eastAsia="Calibri"/>
          <w:sz w:val="22"/>
          <w:szCs w:val="22"/>
          <w:lang w:eastAsia="en-US"/>
        </w:rPr>
        <w:t xml:space="preserve">61166, Харьков, пр. Ленина, 14, тел. (057)702-13-62, E-mail: </w:t>
      </w:r>
      <w:hyperlink r:id="rId4" w:history="1">
        <w:r w:rsidRPr="00C01AFF">
          <w:rPr>
            <w:rFonts w:eastAsia="Calibri"/>
            <w:sz w:val="22"/>
            <w:szCs w:val="22"/>
            <w:lang w:eastAsia="en-US"/>
          </w:rPr>
          <w:t>cntm@ukr.net</w:t>
        </w:r>
      </w:hyperlink>
    </w:p>
    <w:p w:rsidR="00177844" w:rsidRPr="00BF4776" w:rsidRDefault="00177844" w:rsidP="00177844">
      <w:pPr>
        <w:ind w:firstLine="550"/>
        <w:jc w:val="both"/>
        <w:rPr>
          <w:rFonts w:eastAsia="Calibri"/>
          <w:sz w:val="22"/>
          <w:szCs w:val="22"/>
          <w:lang w:val="en-US" w:eastAsia="en-US"/>
        </w:rPr>
      </w:pPr>
      <w:r w:rsidRPr="00C01AFF">
        <w:rPr>
          <w:rFonts w:eastAsia="Calibri"/>
          <w:sz w:val="22"/>
          <w:szCs w:val="22"/>
          <w:lang w:val="en-US" w:eastAsia="en-US"/>
        </w:rPr>
        <w:t>In this paper we experimentally investigated the technology formation of In</w:t>
      </w:r>
      <w:r w:rsidRPr="00C01AFF">
        <w:rPr>
          <w:rFonts w:eastAsia="Calibri"/>
          <w:sz w:val="22"/>
          <w:szCs w:val="22"/>
          <w:vertAlign w:val="subscript"/>
          <w:lang w:val="en-US" w:eastAsia="en-US"/>
        </w:rPr>
        <w:t>2</w:t>
      </w:r>
      <w:r w:rsidRPr="00C01AFF">
        <w:rPr>
          <w:rFonts w:eastAsia="Calibri"/>
          <w:sz w:val="22"/>
          <w:szCs w:val="22"/>
          <w:lang w:val="en-US" w:eastAsia="en-US"/>
        </w:rPr>
        <w:t>O</w:t>
      </w:r>
      <w:r w:rsidRPr="00C01AFF">
        <w:rPr>
          <w:rFonts w:eastAsia="Calibri"/>
          <w:sz w:val="22"/>
          <w:szCs w:val="22"/>
          <w:vertAlign w:val="subscript"/>
          <w:lang w:val="en-US" w:eastAsia="en-US"/>
        </w:rPr>
        <w:t>3</w:t>
      </w:r>
      <w:r w:rsidRPr="00C01AFF">
        <w:rPr>
          <w:rFonts w:eastAsia="Calibri"/>
          <w:sz w:val="22"/>
          <w:szCs w:val="22"/>
          <w:lang w:val="en-US" w:eastAsia="en-US"/>
        </w:rPr>
        <w:t>/SnO</w:t>
      </w:r>
      <w:r w:rsidRPr="00C01AFF">
        <w:rPr>
          <w:rFonts w:eastAsia="Calibri"/>
          <w:sz w:val="22"/>
          <w:szCs w:val="22"/>
          <w:vertAlign w:val="subscript"/>
          <w:lang w:val="en-US" w:eastAsia="en-US"/>
        </w:rPr>
        <w:t xml:space="preserve">2 </w:t>
      </w:r>
      <w:r w:rsidRPr="00C01AFF">
        <w:rPr>
          <w:rFonts w:eastAsia="Calibri"/>
          <w:sz w:val="22"/>
          <w:szCs w:val="22"/>
          <w:lang w:val="en-US" w:eastAsia="en-US"/>
        </w:rPr>
        <w:t xml:space="preserve">thin films. The influence of physical and technological factors on the optical and electrical characteristics were analyzed. Shown the expediency of the </w:t>
      </w:r>
      <w:r w:rsidRPr="00C01AFF">
        <w:rPr>
          <w:rFonts w:eastAsia="Calibri"/>
          <w:sz w:val="22"/>
          <w:szCs w:val="22"/>
          <w:lang w:eastAsia="en-US"/>
        </w:rPr>
        <w:t>application</w:t>
      </w:r>
      <w:r w:rsidRPr="00C01AFF">
        <w:rPr>
          <w:rFonts w:eastAsia="Calibri"/>
          <w:sz w:val="22"/>
          <w:szCs w:val="22"/>
          <w:lang w:val="en-US" w:eastAsia="en-US"/>
        </w:rPr>
        <w:t xml:space="preserve"> of films In</w:t>
      </w:r>
      <w:r w:rsidRPr="00C01AFF">
        <w:rPr>
          <w:rFonts w:eastAsia="Calibri"/>
          <w:sz w:val="22"/>
          <w:szCs w:val="22"/>
          <w:vertAlign w:val="subscript"/>
          <w:lang w:val="en-US" w:eastAsia="en-US"/>
        </w:rPr>
        <w:t>2</w:t>
      </w:r>
      <w:r w:rsidRPr="00C01AFF">
        <w:rPr>
          <w:rFonts w:eastAsia="Calibri"/>
          <w:sz w:val="22"/>
          <w:szCs w:val="22"/>
          <w:lang w:val="en-US" w:eastAsia="en-US"/>
        </w:rPr>
        <w:t>O</w:t>
      </w:r>
      <w:r w:rsidRPr="00C01AFF">
        <w:rPr>
          <w:rFonts w:eastAsia="Calibri"/>
          <w:sz w:val="22"/>
          <w:szCs w:val="22"/>
          <w:vertAlign w:val="subscript"/>
          <w:lang w:val="en-US" w:eastAsia="en-US"/>
        </w:rPr>
        <w:t>3</w:t>
      </w:r>
      <w:r w:rsidRPr="00C01AFF">
        <w:rPr>
          <w:rFonts w:eastAsia="Calibri"/>
          <w:sz w:val="22"/>
          <w:szCs w:val="22"/>
          <w:lang w:val="en-US" w:eastAsia="en-US"/>
        </w:rPr>
        <w:t>/SnO</w:t>
      </w:r>
      <w:r w:rsidRPr="00C01AFF">
        <w:rPr>
          <w:rFonts w:eastAsia="Calibri"/>
          <w:sz w:val="22"/>
          <w:szCs w:val="22"/>
          <w:vertAlign w:val="subscript"/>
          <w:lang w:val="en-US" w:eastAsia="en-US"/>
        </w:rPr>
        <w:t>2</w:t>
      </w:r>
      <w:r w:rsidRPr="00C01AFF">
        <w:rPr>
          <w:rFonts w:eastAsia="Calibri"/>
          <w:sz w:val="22"/>
          <w:szCs w:val="22"/>
          <w:lang w:val="en-US" w:eastAsia="en-US"/>
        </w:rPr>
        <w:t xml:space="preserve"> in the high-efficiency solar cells.</w:t>
      </w:r>
    </w:p>
    <w:p w:rsidR="00177844" w:rsidRPr="00BF4776" w:rsidRDefault="00177844" w:rsidP="00177844">
      <w:pPr>
        <w:ind w:firstLine="550"/>
        <w:jc w:val="both"/>
        <w:rPr>
          <w:rFonts w:eastAsia="Calibri"/>
          <w:sz w:val="22"/>
          <w:szCs w:val="22"/>
          <w:lang w:val="en-US" w:eastAsia="en-US"/>
        </w:rPr>
      </w:pP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В различных современных оптоэлектронных приборах в качестве проводящих электродов используются пленки широкозонных вырожденных полупроводников. Такие пленки должны сочетать высокий коэффициент пропускания (Т ≥ 86%) в спектральных условиях, соответствующих солнечному излучению, и минимальное поверхностное сопротивление (Ri &lt;12 Ом / кв).</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Свойства пленок ITO в значительной степени зависят от метода их получения. К их свойствам, в первую очередь, относятся различный диапазон значений ширины запрещенной зоны, оптимальная концентрация примеси и, как следствие, электрические и оптические параметры пленок.</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Метод испарения (электроннолучевого и термического) требует основное внимание обратить на то, что In имеет более высокое давление насыщенных паров, чем Sn. Поэтому нужную композицию ITO можно получить путем контроля времени осаждения при использовании испарения порошков из одного источника.</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Альтернативой является испарение In и Sn из двух тиглей при комнатной температуре подложки Тn = 200 ºС с тщательным контролем параметров осаждения каждого тигля (чтобы избежать отклонения от стехиометрии), и последующим отжигом в воздухе при температуре не ниже 200 ºС.</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При применении метода, рассмотренного выше, как материал можно использовать порошки In + Sn, In</w:t>
      </w:r>
      <w:r w:rsidRPr="00C01AFF">
        <w:rPr>
          <w:rFonts w:eastAsia="Calibri"/>
          <w:sz w:val="22"/>
          <w:szCs w:val="22"/>
          <w:vertAlign w:val="subscript"/>
          <w:lang w:eastAsia="en-US"/>
        </w:rPr>
        <w:t>2</w:t>
      </w:r>
      <w:r w:rsidRPr="00C01AFF">
        <w:rPr>
          <w:rFonts w:eastAsia="Calibri"/>
          <w:sz w:val="22"/>
          <w:szCs w:val="22"/>
          <w:lang w:eastAsia="en-US"/>
        </w:rPr>
        <w:t>O</w:t>
      </w:r>
      <w:r w:rsidRPr="00C01AFF">
        <w:rPr>
          <w:rFonts w:eastAsia="Calibri"/>
          <w:sz w:val="22"/>
          <w:szCs w:val="22"/>
          <w:vertAlign w:val="subscript"/>
          <w:lang w:eastAsia="en-US"/>
        </w:rPr>
        <w:t>3</w:t>
      </w:r>
      <w:r w:rsidRPr="00C01AFF">
        <w:rPr>
          <w:rFonts w:eastAsia="Calibri"/>
          <w:sz w:val="22"/>
          <w:szCs w:val="22"/>
          <w:lang w:eastAsia="en-US"/>
        </w:rPr>
        <w:t xml:space="preserve"> + SnO</w:t>
      </w:r>
      <w:r w:rsidRPr="00C01AFF">
        <w:rPr>
          <w:rFonts w:eastAsia="Calibri"/>
          <w:sz w:val="22"/>
          <w:szCs w:val="22"/>
          <w:vertAlign w:val="subscript"/>
          <w:lang w:eastAsia="en-US"/>
        </w:rPr>
        <w:t>2</w:t>
      </w:r>
      <w:r w:rsidRPr="00C01AFF">
        <w:rPr>
          <w:rFonts w:eastAsia="Calibri"/>
          <w:sz w:val="22"/>
          <w:szCs w:val="22"/>
          <w:lang w:eastAsia="en-US"/>
        </w:rPr>
        <w:t>, In + Sn + In</w:t>
      </w:r>
      <w:r w:rsidRPr="00C01AFF">
        <w:rPr>
          <w:rFonts w:eastAsia="Calibri"/>
          <w:sz w:val="22"/>
          <w:szCs w:val="22"/>
          <w:vertAlign w:val="subscript"/>
          <w:lang w:eastAsia="en-US"/>
        </w:rPr>
        <w:t>2</w:t>
      </w:r>
      <w:r w:rsidRPr="00C01AFF">
        <w:rPr>
          <w:rFonts w:eastAsia="Calibri"/>
          <w:sz w:val="22"/>
          <w:szCs w:val="22"/>
          <w:lang w:eastAsia="en-US"/>
        </w:rPr>
        <w:t>O</w:t>
      </w:r>
      <w:r w:rsidRPr="00C01AFF">
        <w:rPr>
          <w:rFonts w:eastAsia="Calibri"/>
          <w:sz w:val="22"/>
          <w:szCs w:val="22"/>
          <w:vertAlign w:val="subscript"/>
          <w:lang w:eastAsia="en-US"/>
        </w:rPr>
        <w:t>3</w:t>
      </w:r>
      <w:r w:rsidRPr="00C01AFF">
        <w:rPr>
          <w:rFonts w:eastAsia="Calibri"/>
          <w:sz w:val="22"/>
          <w:szCs w:val="22"/>
          <w:lang w:eastAsia="en-US"/>
        </w:rPr>
        <w:t>.</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Значительное влияние на процессы роста пленок имеет парциальное давление кислорода: при сравнительно низком давлении кислорода существует тенденция к дендритному росту слоев со слабой адгезией [1]. Так при исследовании пленок ITO, полученных методом электроннолучевого испарения прессованных порошков (в весовых частях 90% In</w:t>
      </w:r>
      <w:r w:rsidRPr="00C01AFF">
        <w:rPr>
          <w:rFonts w:eastAsia="Calibri"/>
          <w:sz w:val="22"/>
          <w:szCs w:val="22"/>
          <w:vertAlign w:val="subscript"/>
          <w:lang w:eastAsia="en-US"/>
        </w:rPr>
        <w:t>2</w:t>
      </w:r>
      <w:r w:rsidRPr="00C01AFF">
        <w:rPr>
          <w:rFonts w:eastAsia="Calibri"/>
          <w:sz w:val="22"/>
          <w:szCs w:val="22"/>
          <w:lang w:eastAsia="en-US"/>
        </w:rPr>
        <w:t>O</w:t>
      </w:r>
      <w:r w:rsidRPr="00C01AFF">
        <w:rPr>
          <w:rFonts w:eastAsia="Calibri"/>
          <w:sz w:val="22"/>
          <w:szCs w:val="22"/>
          <w:vertAlign w:val="subscript"/>
          <w:lang w:eastAsia="en-US"/>
        </w:rPr>
        <w:t>3</w:t>
      </w:r>
      <w:r w:rsidRPr="00C01AFF">
        <w:rPr>
          <w:rFonts w:eastAsia="Calibri"/>
          <w:sz w:val="22"/>
          <w:szCs w:val="22"/>
          <w:lang w:eastAsia="en-US"/>
        </w:rPr>
        <w:t xml:space="preserve"> +10% SnO</w:t>
      </w:r>
      <w:r w:rsidRPr="00C01AFF">
        <w:rPr>
          <w:rFonts w:eastAsia="Calibri"/>
          <w:sz w:val="22"/>
          <w:szCs w:val="22"/>
          <w:vertAlign w:val="subscript"/>
          <w:lang w:eastAsia="en-US"/>
        </w:rPr>
        <w:t>2</w:t>
      </w:r>
      <w:r w:rsidRPr="00C01AFF">
        <w:rPr>
          <w:rFonts w:eastAsia="Calibri"/>
          <w:sz w:val="22"/>
          <w:szCs w:val="22"/>
          <w:lang w:eastAsia="en-US"/>
        </w:rPr>
        <w:t>) на подложку при Тn = 250 ºС, повышение парциального давления до 2·10</w:t>
      </w:r>
      <w:r w:rsidRPr="00C01AFF">
        <w:rPr>
          <w:rFonts w:eastAsia="Calibri"/>
          <w:sz w:val="22"/>
          <w:szCs w:val="22"/>
          <w:vertAlign w:val="superscript"/>
          <w:lang w:eastAsia="en-US"/>
        </w:rPr>
        <w:t>-5</w:t>
      </w:r>
      <w:r w:rsidRPr="00C01AFF">
        <w:rPr>
          <w:rFonts w:eastAsia="Calibri"/>
          <w:sz w:val="22"/>
          <w:szCs w:val="22"/>
          <w:lang w:eastAsia="en-US"/>
        </w:rPr>
        <w:t xml:space="preserve"> Торр приводят к уменьшению сопротивления, уменьшение концентрации носителей заряда можно связать с диссипацией кислородных вакансий.</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Свойства пленок в значительной мере определяются их толщиной. Существует критическая толщина пленки, которая соответствует возникновению проводимости и обусловлена ее островковой структурой (отсутствием сплошного слоя).</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При получении пленок ITO для многих случаев невозможно использование высоких температур подложки. Пленки ITO с хорошими электрическими и оптическими свойствами получают при относительно низких Тп = 150-200 ºС [2]. Для Тп &lt;150 ºС наблюдается ухудшение свойств пленок.</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В настоящее время наиболее перспективным методом получения пленок с заданными свойствами следует признать метод реактивного магнетронного распыления (РМР), в котором источником материала пленки служат мишени, которые распыляются ионизированными атомами инертных газов [3]. Метод РМР характеризуется высокой степенью точности переноса состава мишени на подложку, воспроизводимостью и управляемостью. Кроме заниженных требований к безопасности, метод РМР является высокоскоростным, легко контролируемым, и масштабируемым, позволяет получать пленки при низких температурах подложки с хорошей адгезией. При этом можно использовать как dc-распыление (direct current - распыление при постоянном токе), так и rf-распыление (radio-frequency - распыление в ВЧ-разряде).</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Преимущества процесса реактивного магнетронного распыления заключаются в следующем: мишень остается достаточно "холодной", чтобы избежать объемной диффузии компонентов, характерной для мишеней из низкотемпературных сплавов, таких как In-Sn; пленка, осаждаемая на подложку, повторяет стехиометрию мишени; высокие энергии распыленных атомов способствуют улучшению адгезии пленок к подложке.</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lastRenderedPageBreak/>
        <w:t>Получение пленок ITO с удовлетворительными электрическими и оптическими свойствами при использовании rf-реактивного распыления мишени в атмосфере Ar + O</w:t>
      </w:r>
      <w:r w:rsidRPr="00C01AFF">
        <w:rPr>
          <w:rFonts w:eastAsia="Calibri"/>
          <w:sz w:val="22"/>
          <w:szCs w:val="22"/>
          <w:vertAlign w:val="subscript"/>
          <w:lang w:eastAsia="en-US"/>
        </w:rPr>
        <w:t>2</w:t>
      </w:r>
      <w:r w:rsidRPr="00C01AFF">
        <w:rPr>
          <w:rFonts w:eastAsia="Calibri"/>
          <w:sz w:val="22"/>
          <w:szCs w:val="22"/>
          <w:lang w:eastAsia="en-US"/>
        </w:rPr>
        <w:t xml:space="preserve"> обычно осуществляют при температуре подложки более 200 ºС [4]. Рост Тп от 200 ºС до 300 ºС приводил к увеличению подвижности основных носителей заряда в пленках независимо от состава мишени. Рост концентрации Sn в составе мишени при любых температурах подложки приводит к снижению подвижности основных носителей заряда, что связано с ростом их рассеяния на атомах Sn, которые находятся в электрически неактивном состоянии в междоузлиях подрешетки основного металла и на границах зерен.</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При использовании rf-распыления для получения прозрачных слоев ITO с низким удельным сопротивлением применяют, как правило, мишени, представляющие собой или сплав металлов (90% In +10% Sn) или сплав оксидов (90% In</w:t>
      </w:r>
      <w:r w:rsidRPr="00C01AFF">
        <w:rPr>
          <w:rFonts w:eastAsia="Calibri"/>
          <w:sz w:val="22"/>
          <w:szCs w:val="22"/>
          <w:vertAlign w:val="subscript"/>
          <w:lang w:eastAsia="en-US"/>
        </w:rPr>
        <w:t>2</w:t>
      </w:r>
      <w:r w:rsidRPr="00C01AFF">
        <w:rPr>
          <w:rFonts w:eastAsia="Calibri"/>
          <w:sz w:val="22"/>
          <w:szCs w:val="22"/>
          <w:lang w:eastAsia="en-US"/>
        </w:rPr>
        <w:t>O</w:t>
      </w:r>
      <w:r w:rsidRPr="00C01AFF">
        <w:rPr>
          <w:rFonts w:eastAsia="Calibri"/>
          <w:sz w:val="22"/>
          <w:szCs w:val="22"/>
          <w:vertAlign w:val="subscript"/>
          <w:lang w:eastAsia="en-US"/>
        </w:rPr>
        <w:t>3</w:t>
      </w:r>
      <w:r w:rsidRPr="00C01AFF">
        <w:rPr>
          <w:rFonts w:eastAsia="Calibri"/>
          <w:sz w:val="22"/>
          <w:szCs w:val="22"/>
          <w:lang w:eastAsia="en-US"/>
        </w:rPr>
        <w:t xml:space="preserve"> +10% SnO</w:t>
      </w:r>
      <w:r w:rsidRPr="00C01AFF">
        <w:rPr>
          <w:rFonts w:eastAsia="Calibri"/>
          <w:sz w:val="22"/>
          <w:szCs w:val="22"/>
          <w:vertAlign w:val="subscript"/>
          <w:lang w:eastAsia="en-US"/>
        </w:rPr>
        <w:t>2</w:t>
      </w:r>
      <w:r w:rsidRPr="00C01AFF">
        <w:rPr>
          <w:rFonts w:eastAsia="Calibri"/>
          <w:sz w:val="22"/>
          <w:szCs w:val="22"/>
          <w:lang w:eastAsia="en-US"/>
        </w:rPr>
        <w:t>) [2].</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При распылении мишени из оксидных сплавов (90% In</w:t>
      </w:r>
      <w:r w:rsidRPr="00C01AFF">
        <w:rPr>
          <w:rFonts w:eastAsia="Calibri"/>
          <w:sz w:val="22"/>
          <w:szCs w:val="22"/>
          <w:vertAlign w:val="subscript"/>
          <w:lang w:eastAsia="en-US"/>
        </w:rPr>
        <w:t>2</w:t>
      </w:r>
      <w:r w:rsidRPr="00C01AFF">
        <w:rPr>
          <w:rFonts w:eastAsia="Calibri"/>
          <w:sz w:val="22"/>
          <w:szCs w:val="22"/>
          <w:lang w:eastAsia="en-US"/>
        </w:rPr>
        <w:t>O</w:t>
      </w:r>
      <w:r w:rsidRPr="00C01AFF">
        <w:rPr>
          <w:rFonts w:eastAsia="Calibri"/>
          <w:sz w:val="22"/>
          <w:szCs w:val="22"/>
          <w:vertAlign w:val="subscript"/>
          <w:lang w:eastAsia="en-US"/>
        </w:rPr>
        <w:t>3</w:t>
      </w:r>
      <w:r w:rsidRPr="00C01AFF">
        <w:rPr>
          <w:rFonts w:eastAsia="Calibri"/>
          <w:sz w:val="22"/>
          <w:szCs w:val="22"/>
          <w:lang w:eastAsia="en-US"/>
        </w:rPr>
        <w:t xml:space="preserve"> +10% SnO</w:t>
      </w:r>
      <w:r w:rsidRPr="00C01AFF">
        <w:rPr>
          <w:rFonts w:eastAsia="Calibri"/>
          <w:sz w:val="22"/>
          <w:szCs w:val="22"/>
          <w:vertAlign w:val="subscript"/>
          <w:lang w:eastAsia="en-US"/>
        </w:rPr>
        <w:t>2</w:t>
      </w:r>
      <w:r w:rsidRPr="00C01AFF">
        <w:rPr>
          <w:rFonts w:eastAsia="Calibri"/>
          <w:sz w:val="22"/>
          <w:szCs w:val="22"/>
          <w:lang w:eastAsia="en-US"/>
        </w:rPr>
        <w:t>) легче осуществляется контроль стехиометрии и заметно минимизируется проблема диффузии. Используют мишени, изготовленные горячим прессованием порошков. Поскольку In</w:t>
      </w:r>
      <w:r w:rsidRPr="00C01AFF">
        <w:rPr>
          <w:rFonts w:eastAsia="Calibri"/>
          <w:sz w:val="22"/>
          <w:szCs w:val="22"/>
          <w:vertAlign w:val="subscript"/>
          <w:lang w:eastAsia="en-US"/>
        </w:rPr>
        <w:t>2</w:t>
      </w:r>
      <w:r w:rsidRPr="00C01AFF">
        <w:rPr>
          <w:rFonts w:eastAsia="Calibri"/>
          <w:sz w:val="22"/>
          <w:szCs w:val="22"/>
          <w:lang w:eastAsia="en-US"/>
        </w:rPr>
        <w:t>O</w:t>
      </w:r>
      <w:r w:rsidRPr="00C01AFF">
        <w:rPr>
          <w:rFonts w:eastAsia="Calibri"/>
          <w:sz w:val="22"/>
          <w:szCs w:val="22"/>
          <w:vertAlign w:val="subscript"/>
          <w:lang w:eastAsia="en-US"/>
        </w:rPr>
        <w:t>3</w:t>
      </w:r>
      <w:r w:rsidRPr="00C01AFF">
        <w:rPr>
          <w:rFonts w:eastAsia="Calibri"/>
          <w:sz w:val="22"/>
          <w:szCs w:val="22"/>
          <w:lang w:eastAsia="en-US"/>
        </w:rPr>
        <w:t xml:space="preserve"> слишком гигроскопичен, возможно его загрязнение водой.</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В работе [4] при исследовании пленок ZnO: Al экспериментально установлено, что удельная мощность магнетрона имеет оптимальное значение для получения прозрачных и проводящих слоев оксидов. Рост мощности магнетрона выше оптимального значения в результате увеличения скорости осаждения и интенсификации бомбардировки растущего слоя атомами и ионами приводит к генерации собственных точечных дефектов (вакансий О</w:t>
      </w:r>
      <w:r w:rsidRPr="00C01AFF">
        <w:rPr>
          <w:rFonts w:eastAsia="Calibri"/>
          <w:sz w:val="22"/>
          <w:szCs w:val="22"/>
          <w:vertAlign w:val="subscript"/>
          <w:lang w:eastAsia="en-US"/>
        </w:rPr>
        <w:t>2</w:t>
      </w:r>
      <w:r w:rsidRPr="00C01AFF">
        <w:rPr>
          <w:rFonts w:eastAsia="Calibri"/>
          <w:sz w:val="22"/>
          <w:szCs w:val="22"/>
          <w:lang w:eastAsia="en-US"/>
        </w:rPr>
        <w:t>), что ухудшает прозрачность и снижает подвижность основных носителей заряда.</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Теоретически и экспериментально установлено, что плазма тлеющего разряда в процессе магнетронного распыления оказывает также значительное энергетическое воздействие на пленку, в том числе и тепловое. Последнее обстоятельство позволяет получать пленочные слои вырожденных полупроводников без специального нагрева подложки. Обобщение научно-технической документации, анализ методов формирования пленок типа In</w:t>
      </w:r>
      <w:r w:rsidRPr="00C01AFF">
        <w:rPr>
          <w:rFonts w:eastAsia="Calibri"/>
          <w:sz w:val="22"/>
          <w:szCs w:val="22"/>
          <w:vertAlign w:val="subscript"/>
          <w:lang w:eastAsia="en-US"/>
        </w:rPr>
        <w:t>2</w:t>
      </w:r>
      <w:r w:rsidRPr="00C01AFF">
        <w:rPr>
          <w:rFonts w:eastAsia="Calibri"/>
          <w:sz w:val="22"/>
          <w:szCs w:val="22"/>
          <w:lang w:eastAsia="en-US"/>
        </w:rPr>
        <w:t>O</w:t>
      </w:r>
      <w:r w:rsidRPr="00C01AFF">
        <w:rPr>
          <w:rFonts w:eastAsia="Calibri"/>
          <w:sz w:val="22"/>
          <w:szCs w:val="22"/>
          <w:vertAlign w:val="subscript"/>
          <w:lang w:eastAsia="en-US"/>
        </w:rPr>
        <w:t>3</w:t>
      </w:r>
      <w:r w:rsidRPr="00C01AFF">
        <w:rPr>
          <w:rFonts w:eastAsia="Calibri"/>
          <w:sz w:val="22"/>
          <w:szCs w:val="22"/>
          <w:lang w:eastAsia="en-US"/>
        </w:rPr>
        <w:t>/SnO</w:t>
      </w:r>
      <w:r w:rsidRPr="00C01AFF">
        <w:rPr>
          <w:rFonts w:eastAsia="Calibri"/>
          <w:sz w:val="22"/>
          <w:szCs w:val="22"/>
          <w:vertAlign w:val="subscript"/>
          <w:lang w:eastAsia="en-US"/>
        </w:rPr>
        <w:t>2</w:t>
      </w:r>
      <w:r w:rsidRPr="00C01AFF">
        <w:rPr>
          <w:rFonts w:eastAsia="Calibri"/>
          <w:sz w:val="22"/>
          <w:szCs w:val="22"/>
          <w:lang w:eastAsia="en-US"/>
        </w:rPr>
        <w:t>, влияние параметров процесса на электрофизические свойства покрытий, учет их особенностей с уверенностью позволяет выбрать метод реактивного магнетронного распыления для формирования омических электрических фронтальных и тыльных контактов и просветляющих покрытий ФЭП на основе пленок ITO (In</w:t>
      </w:r>
      <w:r w:rsidRPr="00C01AFF">
        <w:rPr>
          <w:rFonts w:eastAsia="Calibri"/>
          <w:sz w:val="22"/>
          <w:szCs w:val="22"/>
          <w:vertAlign w:val="subscript"/>
          <w:lang w:eastAsia="en-US"/>
        </w:rPr>
        <w:t>2</w:t>
      </w:r>
      <w:r w:rsidRPr="00C01AFF">
        <w:rPr>
          <w:rFonts w:eastAsia="Calibri"/>
          <w:sz w:val="22"/>
          <w:szCs w:val="22"/>
          <w:lang w:eastAsia="en-US"/>
        </w:rPr>
        <w:t>O</w:t>
      </w:r>
      <w:r w:rsidRPr="00C01AFF">
        <w:rPr>
          <w:rFonts w:eastAsia="Calibri"/>
          <w:sz w:val="22"/>
          <w:szCs w:val="22"/>
          <w:vertAlign w:val="subscript"/>
          <w:lang w:eastAsia="en-US"/>
        </w:rPr>
        <w:t>3</w:t>
      </w:r>
      <w:r w:rsidRPr="00C01AFF">
        <w:rPr>
          <w:rFonts w:eastAsia="Calibri"/>
          <w:sz w:val="22"/>
          <w:szCs w:val="22"/>
          <w:lang w:eastAsia="en-US"/>
        </w:rPr>
        <w:t>: Sn). Поэтому были исследованы пленки ITO, полученные методом ВЧ магнетронного распыления на стеклянных подложках (стекло С48-3) при использовании для мишеней мелкодисперсной смеси порошков металлов (90% In +10% Sn) или их оксидов (90% In</w:t>
      </w:r>
      <w:r w:rsidRPr="00C01AFF">
        <w:rPr>
          <w:rFonts w:eastAsia="Calibri"/>
          <w:sz w:val="22"/>
          <w:szCs w:val="22"/>
          <w:vertAlign w:val="subscript"/>
          <w:lang w:eastAsia="en-US"/>
        </w:rPr>
        <w:t>2</w:t>
      </w:r>
      <w:r w:rsidRPr="00C01AFF">
        <w:rPr>
          <w:rFonts w:eastAsia="Calibri"/>
          <w:sz w:val="22"/>
          <w:szCs w:val="22"/>
          <w:lang w:eastAsia="en-US"/>
        </w:rPr>
        <w:t>O</w:t>
      </w:r>
      <w:r w:rsidRPr="00C01AFF">
        <w:rPr>
          <w:rFonts w:eastAsia="Calibri"/>
          <w:sz w:val="22"/>
          <w:szCs w:val="22"/>
          <w:vertAlign w:val="subscript"/>
          <w:lang w:eastAsia="en-US"/>
        </w:rPr>
        <w:t>3</w:t>
      </w:r>
      <w:r w:rsidRPr="00C01AFF">
        <w:rPr>
          <w:rFonts w:eastAsia="Calibri"/>
          <w:sz w:val="22"/>
          <w:szCs w:val="22"/>
          <w:lang w:eastAsia="en-US"/>
        </w:rPr>
        <w:t xml:space="preserve"> +10% SnO</w:t>
      </w:r>
      <w:r w:rsidRPr="00C01AFF">
        <w:rPr>
          <w:rFonts w:eastAsia="Calibri"/>
          <w:sz w:val="22"/>
          <w:szCs w:val="22"/>
          <w:vertAlign w:val="subscript"/>
          <w:lang w:eastAsia="en-US"/>
        </w:rPr>
        <w:t>2</w:t>
      </w:r>
      <w:r w:rsidRPr="00C01AFF">
        <w:rPr>
          <w:rFonts w:eastAsia="Calibri"/>
          <w:sz w:val="22"/>
          <w:szCs w:val="22"/>
          <w:lang w:eastAsia="en-US"/>
        </w:rPr>
        <w:t>) . Определено влияние физико-технологических условий на структуру, электрические и оптические свойства пленок ITO с целью выбора оптимальных режимов процесса магнетронного распыления, обеспечивающих необходимые электрофизические параметры.</w:t>
      </w:r>
    </w:p>
    <w:p w:rsidR="00177844" w:rsidRPr="00C01AFF" w:rsidRDefault="00177844" w:rsidP="00177844">
      <w:pPr>
        <w:ind w:firstLine="550"/>
        <w:jc w:val="both"/>
        <w:rPr>
          <w:rFonts w:eastAsia="Calibri"/>
          <w:sz w:val="22"/>
          <w:szCs w:val="22"/>
          <w:shd w:val="clear" w:color="auto" w:fill="FFFFFF"/>
          <w:lang w:eastAsia="en-US"/>
        </w:rPr>
      </w:pPr>
      <w:r w:rsidRPr="00C01AFF">
        <w:rPr>
          <w:rFonts w:eastAsia="Calibri"/>
          <w:sz w:val="22"/>
          <w:szCs w:val="22"/>
          <w:shd w:val="clear" w:color="auto" w:fill="FFFFFF"/>
          <w:lang w:eastAsia="en-US"/>
        </w:rPr>
        <w:t>Основными задачами исследованиями являются:</w:t>
      </w:r>
    </w:p>
    <w:p w:rsidR="00177844" w:rsidRPr="00C01AFF" w:rsidRDefault="00177844" w:rsidP="00177844">
      <w:pPr>
        <w:ind w:firstLine="550"/>
        <w:jc w:val="both"/>
        <w:rPr>
          <w:rFonts w:eastAsia="Calibri"/>
          <w:sz w:val="22"/>
          <w:szCs w:val="22"/>
          <w:shd w:val="clear" w:color="auto" w:fill="FFFFFF"/>
          <w:lang w:eastAsia="en-US"/>
        </w:rPr>
      </w:pPr>
      <w:r w:rsidRPr="00C01AFF">
        <w:rPr>
          <w:rFonts w:eastAsia="Calibri"/>
          <w:sz w:val="22"/>
          <w:szCs w:val="22"/>
          <w:shd w:val="clear" w:color="auto" w:fill="FFFFFF"/>
          <w:lang w:eastAsia="en-US"/>
        </w:rPr>
        <w:t>• экспериментальные исследования влияния технологических режимов процесса магнетронного распыления на электрофизические параметры пленок ITO и их морфологию;</w:t>
      </w:r>
    </w:p>
    <w:p w:rsidR="00177844" w:rsidRPr="00C01AFF" w:rsidRDefault="00177844" w:rsidP="00177844">
      <w:pPr>
        <w:ind w:firstLine="550"/>
        <w:jc w:val="both"/>
        <w:rPr>
          <w:rFonts w:eastAsia="Calibri"/>
          <w:sz w:val="22"/>
          <w:szCs w:val="22"/>
          <w:shd w:val="clear" w:color="auto" w:fill="FFFFFF"/>
          <w:lang w:eastAsia="en-US"/>
        </w:rPr>
      </w:pPr>
      <w:r w:rsidRPr="00C01AFF">
        <w:rPr>
          <w:rFonts w:eastAsia="Calibri"/>
          <w:sz w:val="22"/>
          <w:szCs w:val="22"/>
          <w:shd w:val="clear" w:color="auto" w:fill="FFFFFF"/>
          <w:lang w:eastAsia="en-US"/>
        </w:rPr>
        <w:t>• анализ результатов измерения электрофизических параметров пленок ITO и выбор оптимальных режимов процесса магнетронного распыления, что обеспечивает удельное сопротивление не более 2 Ом/кв и коэффициент прозрачности не менее 80-85%.</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Отработка технологии получения прозрачных электропроводящих слоев ITO методом реактивного магнетронного распыления проведена на модернизированной вакуумной установке типа ВУП-5М. Использовался штатный магнетрон установки с диаметром мишени 40мм. Вакуум в камере при откачке составлял 5·10</w:t>
      </w:r>
      <w:r w:rsidRPr="00C01AFF">
        <w:rPr>
          <w:rFonts w:eastAsia="Calibri"/>
          <w:sz w:val="22"/>
          <w:szCs w:val="22"/>
          <w:vertAlign w:val="superscript"/>
          <w:lang w:eastAsia="en-US"/>
        </w:rPr>
        <w:t>-5</w:t>
      </w:r>
      <w:r w:rsidRPr="00C01AFF">
        <w:rPr>
          <w:rFonts w:eastAsia="Calibri"/>
          <w:sz w:val="22"/>
          <w:szCs w:val="22"/>
          <w:lang w:eastAsia="en-US"/>
        </w:rPr>
        <w:t>мм рт. ст. Рабочее давление газовой смеси Ar: О</w:t>
      </w:r>
      <w:r w:rsidRPr="00C01AFF">
        <w:rPr>
          <w:rFonts w:eastAsia="Calibri"/>
          <w:sz w:val="22"/>
          <w:szCs w:val="22"/>
          <w:vertAlign w:val="subscript"/>
          <w:lang w:eastAsia="en-US"/>
        </w:rPr>
        <w:t>2</w:t>
      </w:r>
      <w:r w:rsidRPr="00C01AFF">
        <w:rPr>
          <w:rFonts w:eastAsia="Calibri"/>
          <w:sz w:val="22"/>
          <w:szCs w:val="22"/>
          <w:lang w:eastAsia="en-US"/>
        </w:rPr>
        <w:t xml:space="preserve"> = 3:1 поддерживалось в диапазоне 8·10</w:t>
      </w:r>
      <w:r w:rsidRPr="00C01AFF">
        <w:rPr>
          <w:rFonts w:eastAsia="Calibri"/>
          <w:sz w:val="22"/>
          <w:szCs w:val="22"/>
          <w:vertAlign w:val="superscript"/>
          <w:lang w:eastAsia="en-US"/>
        </w:rPr>
        <w:t>-3</w:t>
      </w:r>
      <w:r w:rsidRPr="00C01AFF">
        <w:rPr>
          <w:rFonts w:eastAsia="Calibri"/>
          <w:sz w:val="22"/>
          <w:szCs w:val="22"/>
          <w:lang w:eastAsia="en-US"/>
        </w:rPr>
        <w:t xml:space="preserve"> - 1,6·10</w:t>
      </w:r>
      <w:r w:rsidRPr="00C01AFF">
        <w:rPr>
          <w:rFonts w:eastAsia="Calibri"/>
          <w:sz w:val="22"/>
          <w:szCs w:val="22"/>
          <w:vertAlign w:val="superscript"/>
          <w:lang w:eastAsia="en-US"/>
        </w:rPr>
        <w:t>-2</w:t>
      </w:r>
      <w:r w:rsidRPr="00C01AFF">
        <w:rPr>
          <w:rFonts w:eastAsia="Calibri"/>
          <w:sz w:val="22"/>
          <w:szCs w:val="22"/>
          <w:lang w:eastAsia="en-US"/>
        </w:rPr>
        <w:t xml:space="preserve"> Торр.</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С целью обеспечения оптимальных электрических и оптических свойств пленок ITO были проведены исследования влияния парциального давления кислорода СО</w:t>
      </w:r>
      <w:r w:rsidRPr="00C01AFF">
        <w:rPr>
          <w:rFonts w:eastAsia="Calibri"/>
          <w:sz w:val="22"/>
          <w:szCs w:val="22"/>
          <w:vertAlign w:val="subscript"/>
          <w:lang w:eastAsia="en-US"/>
        </w:rPr>
        <w:t>2</w:t>
      </w:r>
      <w:r w:rsidRPr="00C01AFF">
        <w:rPr>
          <w:rFonts w:eastAsia="Calibri"/>
          <w:sz w:val="22"/>
          <w:szCs w:val="22"/>
          <w:lang w:eastAsia="en-US"/>
        </w:rPr>
        <w:t xml:space="preserve"> и удельной мощности магнетрона P</w:t>
      </w:r>
      <w:r w:rsidRPr="00C01AFF">
        <w:rPr>
          <w:rFonts w:eastAsia="Calibri"/>
          <w:sz w:val="22"/>
          <w:szCs w:val="22"/>
          <w:vertAlign w:val="subscript"/>
          <w:lang w:eastAsia="en-US"/>
        </w:rPr>
        <w:t>W</w:t>
      </w:r>
      <w:r w:rsidRPr="00C01AFF">
        <w:rPr>
          <w:rFonts w:eastAsia="Calibri"/>
          <w:sz w:val="22"/>
          <w:szCs w:val="22"/>
          <w:lang w:eastAsia="en-US"/>
        </w:rPr>
        <w:t xml:space="preserve"> на свойства пленок ITO, которые осаждались методом ВЧ магнетронного распыления на стеклянные подложки без предварительного подогрева.</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Электрические и оптические свойства пленок ITO, полученных ВЧ-распылением, приведены в табл. 1.</w:t>
      </w:r>
    </w:p>
    <w:p w:rsidR="00177844" w:rsidRPr="00C01AFF" w:rsidRDefault="00177844" w:rsidP="00177844">
      <w:pPr>
        <w:ind w:firstLine="7371"/>
        <w:jc w:val="both"/>
        <w:rPr>
          <w:sz w:val="22"/>
          <w:szCs w:val="22"/>
        </w:rPr>
      </w:pPr>
      <w:r w:rsidRPr="00C01AFF">
        <w:rPr>
          <w:sz w:val="22"/>
          <w:szCs w:val="22"/>
        </w:rPr>
        <w:t>Таблица 1</w:t>
      </w:r>
    </w:p>
    <w:tbl>
      <w:tblPr>
        <w:tblW w:w="8474" w:type="dxa"/>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4A0"/>
      </w:tblPr>
      <w:tblGrid>
        <w:gridCol w:w="1399"/>
        <w:gridCol w:w="1415"/>
        <w:gridCol w:w="1415"/>
        <w:gridCol w:w="1415"/>
        <w:gridCol w:w="1415"/>
        <w:gridCol w:w="1415"/>
      </w:tblGrid>
      <w:tr w:rsidR="00177844" w:rsidRPr="00C01AFF" w:rsidTr="00BC3E33">
        <w:trPr>
          <w:trHeight w:val="258"/>
          <w:tblCellSpacing w:w="0" w:type="dxa"/>
        </w:trPr>
        <w:tc>
          <w:tcPr>
            <w:tcW w:w="1399"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left="6" w:right="-11" w:hanging="6"/>
              <w:jc w:val="both"/>
              <w:rPr>
                <w:sz w:val="22"/>
                <w:szCs w:val="22"/>
              </w:rPr>
            </w:pPr>
            <w:r w:rsidRPr="00C01AFF">
              <w:rPr>
                <w:sz w:val="22"/>
                <w:szCs w:val="22"/>
              </w:rPr>
              <w:t>P</w:t>
            </w:r>
            <w:r w:rsidRPr="00C01AFF">
              <w:rPr>
                <w:sz w:val="22"/>
                <w:szCs w:val="22"/>
                <w:vertAlign w:val="subscript"/>
              </w:rPr>
              <w:t>W</w:t>
            </w:r>
            <w:r w:rsidRPr="00C01AFF">
              <w:rPr>
                <w:sz w:val="22"/>
                <w:szCs w:val="22"/>
              </w:rPr>
              <w:t>, Вт/м</w:t>
            </w:r>
            <w:r w:rsidRPr="00C01AFF">
              <w:rPr>
                <w:sz w:val="22"/>
                <w:szCs w:val="22"/>
                <w:vertAlign w:val="superscript"/>
              </w:rPr>
              <w:t>2</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2,2</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2,2</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2,2</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1,5</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1,2</w:t>
            </w:r>
          </w:p>
        </w:tc>
      </w:tr>
      <w:tr w:rsidR="00177844" w:rsidRPr="00C01AFF" w:rsidTr="00BC3E33">
        <w:trPr>
          <w:trHeight w:val="258"/>
          <w:tblCellSpacing w:w="0" w:type="dxa"/>
        </w:trPr>
        <w:tc>
          <w:tcPr>
            <w:tcW w:w="1399"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left="6" w:right="-11" w:hanging="6"/>
              <w:jc w:val="both"/>
              <w:rPr>
                <w:sz w:val="22"/>
                <w:szCs w:val="22"/>
              </w:rPr>
            </w:pPr>
            <w:r w:rsidRPr="00C01AFF">
              <w:rPr>
                <w:sz w:val="22"/>
                <w:szCs w:val="22"/>
              </w:rPr>
              <w:t>С</w:t>
            </w:r>
            <w:r w:rsidRPr="00C01AFF">
              <w:rPr>
                <w:sz w:val="22"/>
                <w:szCs w:val="22"/>
                <w:vertAlign w:val="subscript"/>
              </w:rPr>
              <w:t>О2</w:t>
            </w:r>
            <w:r w:rsidRPr="00C01AFF">
              <w:rPr>
                <w:sz w:val="22"/>
                <w:szCs w:val="22"/>
              </w:rPr>
              <w:t>, %</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0</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1</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3</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3</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3</w:t>
            </w:r>
          </w:p>
        </w:tc>
      </w:tr>
      <w:tr w:rsidR="00177844" w:rsidRPr="00C01AFF" w:rsidTr="00BC3E33">
        <w:trPr>
          <w:trHeight w:val="258"/>
          <w:tblCellSpacing w:w="0" w:type="dxa"/>
        </w:trPr>
        <w:tc>
          <w:tcPr>
            <w:tcW w:w="1399"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lastRenderedPageBreak/>
              <w:t>Δ</w:t>
            </w:r>
            <w:r w:rsidRPr="00C01AFF">
              <w:rPr>
                <w:sz w:val="22"/>
                <w:szCs w:val="22"/>
                <w:vertAlign w:val="subscript"/>
              </w:rPr>
              <w:t>пл</w:t>
            </w:r>
            <w:r w:rsidRPr="00C01AFF">
              <w:rPr>
                <w:sz w:val="22"/>
                <w:szCs w:val="22"/>
              </w:rPr>
              <w:t>, мкм</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0,66</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0,65</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0,62</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0,48</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0,45</w:t>
            </w:r>
          </w:p>
        </w:tc>
      </w:tr>
      <w:tr w:rsidR="00177844" w:rsidRPr="00C01AFF" w:rsidTr="00BC3E33">
        <w:trPr>
          <w:trHeight w:val="258"/>
          <w:tblCellSpacing w:w="0" w:type="dxa"/>
        </w:trPr>
        <w:tc>
          <w:tcPr>
            <w:tcW w:w="1399"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t>R, Ом/кв</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0,1</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12,4</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15,7</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20,0</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475</w:t>
            </w:r>
          </w:p>
        </w:tc>
      </w:tr>
      <w:tr w:rsidR="00177844" w:rsidRPr="00C01AFF" w:rsidTr="00BC3E33">
        <w:trPr>
          <w:trHeight w:val="258"/>
          <w:tblCellSpacing w:w="0" w:type="dxa"/>
        </w:trPr>
        <w:tc>
          <w:tcPr>
            <w:tcW w:w="1399"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t>ρ, 10</w:t>
            </w:r>
            <w:r w:rsidRPr="00C01AFF">
              <w:rPr>
                <w:sz w:val="22"/>
                <w:szCs w:val="22"/>
                <w:vertAlign w:val="superscript"/>
              </w:rPr>
              <w:t>-4</w:t>
            </w:r>
            <w:r w:rsidRPr="00C01AFF">
              <w:rPr>
                <w:sz w:val="22"/>
                <w:szCs w:val="22"/>
              </w:rPr>
              <w:t xml:space="preserve"> Ом·см</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6,0</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8,1</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9,8</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9,6</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213</w:t>
            </w:r>
          </w:p>
        </w:tc>
      </w:tr>
      <w:tr w:rsidR="00177844" w:rsidRPr="00C01AFF" w:rsidTr="00BC3E33">
        <w:trPr>
          <w:trHeight w:val="258"/>
          <w:tblCellSpacing w:w="0" w:type="dxa"/>
        </w:trPr>
        <w:tc>
          <w:tcPr>
            <w:tcW w:w="1399"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t>μ, см</w:t>
            </w:r>
            <w:r w:rsidRPr="00C01AFF">
              <w:rPr>
                <w:sz w:val="22"/>
                <w:szCs w:val="22"/>
                <w:vertAlign w:val="superscript"/>
              </w:rPr>
              <w:t>2</w:t>
            </w:r>
            <w:r w:rsidRPr="00C01AFF">
              <w:rPr>
                <w:sz w:val="22"/>
                <w:szCs w:val="22"/>
              </w:rPr>
              <w:t>/(В·с)</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7</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7</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8</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11</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14</w:t>
            </w:r>
          </w:p>
        </w:tc>
      </w:tr>
      <w:tr w:rsidR="00177844" w:rsidRPr="00C01AFF" w:rsidTr="00BC3E33">
        <w:trPr>
          <w:trHeight w:val="258"/>
          <w:tblCellSpacing w:w="0" w:type="dxa"/>
        </w:trPr>
        <w:tc>
          <w:tcPr>
            <w:tcW w:w="1399"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t>n, 10</w:t>
            </w:r>
            <w:r w:rsidRPr="00C01AFF">
              <w:rPr>
                <w:sz w:val="22"/>
                <w:szCs w:val="22"/>
                <w:vertAlign w:val="superscript"/>
              </w:rPr>
              <w:t>20</w:t>
            </w:r>
            <w:r w:rsidRPr="00C01AFF">
              <w:rPr>
                <w:sz w:val="22"/>
                <w:szCs w:val="22"/>
              </w:rPr>
              <w:t>см</w:t>
            </w:r>
            <w:r w:rsidRPr="00C01AFF">
              <w:rPr>
                <w:sz w:val="22"/>
                <w:szCs w:val="22"/>
                <w:vertAlign w:val="superscript"/>
              </w:rPr>
              <w:t>-3</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15</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11</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8,1</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5,9</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0,21</w:t>
            </w:r>
          </w:p>
        </w:tc>
      </w:tr>
      <w:tr w:rsidR="00177844" w:rsidRPr="00C01AFF" w:rsidTr="00BC3E33">
        <w:trPr>
          <w:trHeight w:val="259"/>
          <w:tblCellSpacing w:w="0" w:type="dxa"/>
        </w:trPr>
        <w:tc>
          <w:tcPr>
            <w:tcW w:w="1399"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t>T</w:t>
            </w:r>
            <w:r w:rsidRPr="00C01AFF">
              <w:rPr>
                <w:sz w:val="22"/>
                <w:szCs w:val="22"/>
                <w:vertAlign w:val="subscript"/>
              </w:rPr>
              <w:t>400-800</w:t>
            </w:r>
            <w:r w:rsidRPr="00C01AFF">
              <w:rPr>
                <w:sz w:val="22"/>
                <w:szCs w:val="22"/>
              </w:rPr>
              <w:t>, %</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3,7</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17</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23,2</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88,2</w:t>
            </w:r>
          </w:p>
        </w:tc>
        <w:tc>
          <w:tcPr>
            <w:tcW w:w="1415" w:type="dxa"/>
            <w:tcBorders>
              <w:top w:val="outset" w:sz="6" w:space="0" w:color="000000"/>
              <w:left w:val="outset" w:sz="6" w:space="0" w:color="000000"/>
              <w:bottom w:val="outset" w:sz="6" w:space="0" w:color="000000"/>
              <w:right w:val="outset" w:sz="6" w:space="0" w:color="000000"/>
            </w:tcBorders>
            <w:vAlign w:val="center"/>
          </w:tcPr>
          <w:p w:rsidR="00177844" w:rsidRPr="00C01AFF" w:rsidRDefault="00177844" w:rsidP="00BC3E33">
            <w:pPr>
              <w:jc w:val="center"/>
              <w:rPr>
                <w:sz w:val="22"/>
                <w:szCs w:val="22"/>
              </w:rPr>
            </w:pPr>
            <w:r w:rsidRPr="00C01AFF">
              <w:rPr>
                <w:sz w:val="22"/>
                <w:szCs w:val="22"/>
              </w:rPr>
              <w:t>88,8</w:t>
            </w:r>
          </w:p>
        </w:tc>
      </w:tr>
    </w:tbl>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Как видно из табл. 1 при ВЧ-магнетронном распылении, если P</w:t>
      </w:r>
      <w:r w:rsidRPr="00C01AFF">
        <w:rPr>
          <w:rFonts w:eastAsia="Calibri"/>
          <w:sz w:val="22"/>
          <w:szCs w:val="22"/>
          <w:vertAlign w:val="subscript"/>
          <w:lang w:eastAsia="en-US"/>
        </w:rPr>
        <w:t>W</w:t>
      </w:r>
      <w:r w:rsidRPr="00C01AFF">
        <w:rPr>
          <w:rFonts w:eastAsia="Calibri"/>
          <w:sz w:val="22"/>
          <w:szCs w:val="22"/>
          <w:lang w:eastAsia="en-US"/>
        </w:rPr>
        <w:t xml:space="preserve"> = 2,2 Вт/м</w:t>
      </w:r>
      <w:r w:rsidRPr="00C01AFF">
        <w:rPr>
          <w:rFonts w:eastAsia="Calibri"/>
          <w:sz w:val="22"/>
          <w:szCs w:val="22"/>
          <w:vertAlign w:val="superscript"/>
          <w:lang w:eastAsia="en-US"/>
        </w:rPr>
        <w:t>2</w:t>
      </w:r>
      <w:r w:rsidRPr="00C01AFF">
        <w:rPr>
          <w:rFonts w:eastAsia="Calibri"/>
          <w:sz w:val="22"/>
          <w:szCs w:val="22"/>
          <w:lang w:eastAsia="en-US"/>
        </w:rPr>
        <w:t>, увеличение СО</w:t>
      </w:r>
      <w:r w:rsidRPr="00C01AFF">
        <w:rPr>
          <w:rFonts w:eastAsia="Calibri"/>
          <w:sz w:val="22"/>
          <w:szCs w:val="22"/>
          <w:vertAlign w:val="subscript"/>
          <w:lang w:eastAsia="en-US"/>
        </w:rPr>
        <w:t>2</w:t>
      </w:r>
      <w:r w:rsidRPr="00C01AFF">
        <w:rPr>
          <w:rFonts w:eastAsia="Calibri"/>
          <w:sz w:val="22"/>
          <w:szCs w:val="22"/>
          <w:lang w:eastAsia="en-US"/>
        </w:rPr>
        <w:t xml:space="preserve"> в составе аргонно-кислородной смеси от 0% об. до 3,0 об.% приводит к росту поверхностного сопротивления R</w:t>
      </w:r>
      <w:r w:rsidRPr="00C01AFF">
        <w:rPr>
          <w:rFonts w:eastAsia="Calibri"/>
          <w:sz w:val="22"/>
          <w:szCs w:val="22"/>
          <w:vertAlign w:val="subscript"/>
          <w:lang w:eastAsia="en-US"/>
        </w:rPr>
        <w:t>ОМ</w:t>
      </w:r>
      <w:r w:rsidRPr="00C01AFF">
        <w:rPr>
          <w:rFonts w:eastAsia="Calibri"/>
          <w:sz w:val="22"/>
          <w:szCs w:val="22"/>
          <w:lang w:eastAsia="en-US"/>
        </w:rPr>
        <w:t xml:space="preserve"> 9,1 Ом/кв до 15 , 7 Ом/кв и росту прозрачности пленок T</w:t>
      </w:r>
      <w:r w:rsidRPr="00C01AFF">
        <w:rPr>
          <w:rFonts w:eastAsia="Calibri"/>
          <w:sz w:val="22"/>
          <w:szCs w:val="22"/>
          <w:vertAlign w:val="subscript"/>
          <w:lang w:eastAsia="en-US"/>
        </w:rPr>
        <w:t>400-800</w:t>
      </w:r>
      <w:r w:rsidRPr="00C01AFF">
        <w:rPr>
          <w:rFonts w:eastAsia="Calibri"/>
          <w:sz w:val="22"/>
          <w:szCs w:val="22"/>
          <w:lang w:eastAsia="en-US"/>
        </w:rPr>
        <w:t xml:space="preserve"> от 3,7% до 23,2%. При этом уже при концентрации кислорода в составе аргонно-кислородной смеси на уровне 1% об. Величина T</w:t>
      </w:r>
      <w:r w:rsidRPr="00C01AFF">
        <w:rPr>
          <w:rFonts w:eastAsia="Calibri"/>
          <w:sz w:val="22"/>
          <w:szCs w:val="22"/>
          <w:vertAlign w:val="subscript"/>
          <w:lang w:eastAsia="en-US"/>
        </w:rPr>
        <w:t>400-800</w:t>
      </w:r>
      <w:r w:rsidRPr="00C01AFF">
        <w:rPr>
          <w:rFonts w:eastAsia="Calibri"/>
          <w:sz w:val="22"/>
          <w:szCs w:val="22"/>
          <w:lang w:eastAsia="en-US"/>
        </w:rPr>
        <w:t xml:space="preserve"> достигает 17%, а затем практически не меняется с ростом СО</w:t>
      </w:r>
      <w:r w:rsidRPr="00C01AFF">
        <w:rPr>
          <w:rFonts w:eastAsia="Calibri"/>
          <w:sz w:val="22"/>
          <w:szCs w:val="22"/>
          <w:vertAlign w:val="subscript"/>
          <w:lang w:eastAsia="en-US"/>
        </w:rPr>
        <w:t>2</w:t>
      </w:r>
      <w:r w:rsidRPr="00C01AFF">
        <w:rPr>
          <w:rFonts w:eastAsia="Calibri"/>
          <w:sz w:val="22"/>
          <w:szCs w:val="22"/>
          <w:lang w:eastAsia="en-US"/>
        </w:rPr>
        <w:t>.</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Согласно литературным данным [5], низкая прозрачность пленок оксидов металлов, как правило, обусловлена высокой концентрацией вакансий кислорода в растущей пленке, которая вызывает высокое диффузное рассеяние света, падающего на образец. Кроме того, недостаточное количество кислорода может приводить к формированию включений металла, что еще больше снижает прозрачность пленок оксида. Таким образом, возможно, что в исследованных пленках ITO, несмотря на рост концентрации кислорода в составе газовой смеси, из-за высоких скоростей осаждения атомы кислорода не успевают занять узлы кристаллической решетки.</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При проведении дальнейших экспериментов по увеличению прозрачности слоев ITO при неизменной концентрации кислорода СО</w:t>
      </w:r>
      <w:r w:rsidRPr="00C01AFF">
        <w:rPr>
          <w:rFonts w:eastAsia="Calibri"/>
          <w:sz w:val="22"/>
          <w:szCs w:val="22"/>
          <w:vertAlign w:val="subscript"/>
          <w:lang w:eastAsia="en-US"/>
        </w:rPr>
        <w:t>2</w:t>
      </w:r>
      <w:r w:rsidRPr="00C01AFF">
        <w:rPr>
          <w:rFonts w:eastAsia="Calibri"/>
          <w:sz w:val="22"/>
          <w:szCs w:val="22"/>
          <w:lang w:eastAsia="en-US"/>
        </w:rPr>
        <w:t xml:space="preserve"> = 3,0% об. была уменьшена удельная мощность магнетронного распыления. Экспериментально установлено, что уменьшение мощности магнетрона P</w:t>
      </w:r>
      <w:r w:rsidRPr="00C01AFF">
        <w:rPr>
          <w:rFonts w:eastAsia="Calibri"/>
          <w:sz w:val="22"/>
          <w:szCs w:val="22"/>
          <w:vertAlign w:val="subscript"/>
          <w:lang w:eastAsia="en-US"/>
        </w:rPr>
        <w:t>W</w:t>
      </w:r>
      <w:r w:rsidRPr="00C01AFF">
        <w:rPr>
          <w:rFonts w:eastAsia="Calibri"/>
          <w:sz w:val="22"/>
          <w:szCs w:val="22"/>
          <w:lang w:eastAsia="en-US"/>
        </w:rPr>
        <w:t xml:space="preserve"> от 2,2 Вт/м</w:t>
      </w:r>
      <w:r w:rsidRPr="00C01AFF">
        <w:rPr>
          <w:rFonts w:eastAsia="Calibri"/>
          <w:sz w:val="22"/>
          <w:szCs w:val="22"/>
          <w:vertAlign w:val="superscript"/>
          <w:lang w:eastAsia="en-US"/>
        </w:rPr>
        <w:t>2</w:t>
      </w:r>
      <w:r w:rsidRPr="00C01AFF">
        <w:rPr>
          <w:rFonts w:eastAsia="Calibri"/>
          <w:sz w:val="22"/>
          <w:szCs w:val="22"/>
          <w:lang w:eastAsia="en-US"/>
        </w:rPr>
        <w:t xml:space="preserve"> до 1,5 Вт/м</w:t>
      </w:r>
      <w:r w:rsidRPr="00C01AFF">
        <w:rPr>
          <w:rFonts w:eastAsia="Calibri"/>
          <w:sz w:val="22"/>
          <w:szCs w:val="22"/>
          <w:vertAlign w:val="superscript"/>
          <w:lang w:eastAsia="en-US"/>
        </w:rPr>
        <w:t>2</w:t>
      </w:r>
      <w:r w:rsidRPr="00C01AFF">
        <w:rPr>
          <w:rFonts w:eastAsia="Calibri"/>
          <w:sz w:val="22"/>
          <w:szCs w:val="22"/>
          <w:lang w:eastAsia="en-US"/>
        </w:rPr>
        <w:t xml:space="preserve"> приводило к росту прозрачности пленок ITO до 88,2% (табл. 1). При этом удельное поверхностное сопротивление пленок росло незначительно: от R = 15,7 Ом/кв до R=20,0 Ом/кв (табл. 1).</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Снижение мощности магнетрона от P</w:t>
      </w:r>
      <w:r w:rsidRPr="00C01AFF">
        <w:rPr>
          <w:rFonts w:eastAsia="Calibri"/>
          <w:sz w:val="22"/>
          <w:szCs w:val="22"/>
          <w:vertAlign w:val="subscript"/>
          <w:lang w:eastAsia="en-US"/>
        </w:rPr>
        <w:t>W</w:t>
      </w:r>
      <w:r w:rsidRPr="00C01AFF">
        <w:rPr>
          <w:rFonts w:eastAsia="Calibri"/>
          <w:sz w:val="22"/>
          <w:szCs w:val="22"/>
          <w:lang w:eastAsia="en-US"/>
        </w:rPr>
        <w:t xml:space="preserve"> = 1,5 Вт/м</w:t>
      </w:r>
      <w:r w:rsidRPr="00C01AFF">
        <w:rPr>
          <w:rFonts w:eastAsia="Calibri"/>
          <w:sz w:val="22"/>
          <w:szCs w:val="22"/>
          <w:vertAlign w:val="superscript"/>
          <w:lang w:eastAsia="en-US"/>
        </w:rPr>
        <w:t>2</w:t>
      </w:r>
      <w:r w:rsidRPr="00C01AFF">
        <w:rPr>
          <w:rFonts w:eastAsia="Calibri"/>
          <w:sz w:val="22"/>
          <w:szCs w:val="22"/>
          <w:lang w:eastAsia="en-US"/>
        </w:rPr>
        <w:t xml:space="preserve"> в P</w:t>
      </w:r>
      <w:r w:rsidRPr="00C01AFF">
        <w:rPr>
          <w:rFonts w:eastAsia="Calibri"/>
          <w:sz w:val="22"/>
          <w:szCs w:val="22"/>
          <w:vertAlign w:val="subscript"/>
          <w:lang w:eastAsia="en-US"/>
        </w:rPr>
        <w:t>W</w:t>
      </w:r>
      <w:r w:rsidRPr="00C01AFF">
        <w:rPr>
          <w:rFonts w:eastAsia="Calibri"/>
          <w:sz w:val="22"/>
          <w:szCs w:val="22"/>
          <w:lang w:eastAsia="en-US"/>
        </w:rPr>
        <w:t xml:space="preserve"> = 1,2 Вт/м</w:t>
      </w:r>
      <w:r w:rsidRPr="00C01AFF">
        <w:rPr>
          <w:rFonts w:eastAsia="Calibri"/>
          <w:sz w:val="22"/>
          <w:szCs w:val="22"/>
          <w:vertAlign w:val="superscript"/>
          <w:lang w:eastAsia="en-US"/>
        </w:rPr>
        <w:t>2</w:t>
      </w:r>
      <w:r w:rsidRPr="00C01AFF">
        <w:rPr>
          <w:rFonts w:eastAsia="Calibri"/>
          <w:sz w:val="22"/>
          <w:szCs w:val="22"/>
          <w:lang w:eastAsia="en-US"/>
        </w:rPr>
        <w:t xml:space="preserve"> приводит к резкому росту удельного поверхностного сопротивления от R = 20,0 Ом/кв до R = 475,0 Ом/кв (табл. 1 ). При этом прозрачность пленок возрастает незначительно от T</w:t>
      </w:r>
      <w:r w:rsidRPr="00C01AFF">
        <w:rPr>
          <w:rFonts w:eastAsia="Calibri"/>
          <w:sz w:val="22"/>
          <w:szCs w:val="22"/>
          <w:vertAlign w:val="subscript"/>
          <w:lang w:eastAsia="en-US"/>
        </w:rPr>
        <w:t>400-800</w:t>
      </w:r>
      <w:r w:rsidRPr="00C01AFF">
        <w:rPr>
          <w:rFonts w:eastAsia="Calibri"/>
          <w:sz w:val="22"/>
          <w:szCs w:val="22"/>
          <w:lang w:eastAsia="en-US"/>
        </w:rPr>
        <w:t xml:space="preserve"> = 88,2% до T</w:t>
      </w:r>
      <w:r w:rsidRPr="00C01AFF">
        <w:rPr>
          <w:rFonts w:eastAsia="Calibri"/>
          <w:sz w:val="22"/>
          <w:szCs w:val="22"/>
          <w:vertAlign w:val="subscript"/>
          <w:lang w:eastAsia="en-US"/>
        </w:rPr>
        <w:t>400-800</w:t>
      </w:r>
      <w:r w:rsidRPr="00C01AFF">
        <w:rPr>
          <w:rFonts w:eastAsia="Calibri"/>
          <w:sz w:val="22"/>
          <w:szCs w:val="22"/>
          <w:lang w:eastAsia="en-US"/>
        </w:rPr>
        <w:t xml:space="preserve"> = 88,8% (табл. 1). Исследования э.д.с. Холла свидетельствуют о том, что увеличение R обусловлено снижением концентрации основных носителей заряда от n = 5,9 10</w:t>
      </w:r>
      <w:r w:rsidRPr="00C01AFF">
        <w:rPr>
          <w:rFonts w:eastAsia="Calibri"/>
          <w:sz w:val="22"/>
          <w:szCs w:val="22"/>
          <w:vertAlign w:val="superscript"/>
          <w:lang w:eastAsia="en-US"/>
        </w:rPr>
        <w:t>20</w:t>
      </w:r>
      <w:r w:rsidRPr="00C01AFF">
        <w:rPr>
          <w:rFonts w:eastAsia="Calibri"/>
          <w:sz w:val="22"/>
          <w:szCs w:val="22"/>
          <w:lang w:eastAsia="en-US"/>
        </w:rPr>
        <w:t>см</w:t>
      </w:r>
      <w:r w:rsidRPr="00C01AFF">
        <w:rPr>
          <w:rFonts w:eastAsia="Calibri"/>
          <w:sz w:val="22"/>
          <w:szCs w:val="22"/>
          <w:vertAlign w:val="superscript"/>
          <w:lang w:eastAsia="en-US"/>
        </w:rPr>
        <w:t>-3</w:t>
      </w:r>
      <w:r w:rsidRPr="00C01AFF">
        <w:rPr>
          <w:rFonts w:eastAsia="Calibri"/>
          <w:sz w:val="22"/>
          <w:szCs w:val="22"/>
          <w:lang w:eastAsia="en-US"/>
        </w:rPr>
        <w:t xml:space="preserve"> до n = 2,1 10</w:t>
      </w:r>
      <w:r w:rsidRPr="00C01AFF">
        <w:rPr>
          <w:rFonts w:eastAsia="Calibri"/>
          <w:sz w:val="22"/>
          <w:szCs w:val="22"/>
          <w:vertAlign w:val="superscript"/>
          <w:lang w:eastAsia="en-US"/>
        </w:rPr>
        <w:t>20</w:t>
      </w:r>
      <w:r w:rsidRPr="00C01AFF">
        <w:rPr>
          <w:rFonts w:eastAsia="Calibri"/>
          <w:sz w:val="22"/>
          <w:szCs w:val="22"/>
          <w:lang w:eastAsia="en-US"/>
        </w:rPr>
        <w:t>см</w:t>
      </w:r>
      <w:r w:rsidRPr="00C01AFF">
        <w:rPr>
          <w:rFonts w:eastAsia="Calibri"/>
          <w:sz w:val="22"/>
          <w:szCs w:val="22"/>
          <w:vertAlign w:val="superscript"/>
          <w:lang w:eastAsia="en-US"/>
        </w:rPr>
        <w:t>-3</w:t>
      </w:r>
      <w:r w:rsidRPr="00C01AFF">
        <w:rPr>
          <w:rFonts w:eastAsia="Calibri"/>
          <w:sz w:val="22"/>
          <w:szCs w:val="22"/>
          <w:lang w:eastAsia="en-US"/>
        </w:rPr>
        <w:t xml:space="preserve"> на фоне незначительного роста их подвижности от μ = 11 см</w:t>
      </w:r>
      <w:r w:rsidRPr="00C01AFF">
        <w:rPr>
          <w:rFonts w:eastAsia="Calibri"/>
          <w:sz w:val="22"/>
          <w:szCs w:val="22"/>
          <w:vertAlign w:val="superscript"/>
          <w:lang w:eastAsia="en-US"/>
        </w:rPr>
        <w:t>2</w:t>
      </w:r>
      <w:r w:rsidRPr="00C01AFF">
        <w:rPr>
          <w:rFonts w:eastAsia="Calibri"/>
          <w:sz w:val="22"/>
          <w:szCs w:val="22"/>
          <w:lang w:eastAsia="en-US"/>
        </w:rPr>
        <w:t xml:space="preserve"> / (В·с) до μ = 14 см</w:t>
      </w:r>
      <w:r w:rsidRPr="00C01AFF">
        <w:rPr>
          <w:rFonts w:eastAsia="Calibri"/>
          <w:sz w:val="22"/>
          <w:szCs w:val="22"/>
          <w:vertAlign w:val="superscript"/>
          <w:lang w:eastAsia="en-US"/>
        </w:rPr>
        <w:t>2</w:t>
      </w:r>
      <w:r w:rsidRPr="00C01AFF">
        <w:rPr>
          <w:rFonts w:eastAsia="Calibri"/>
          <w:sz w:val="22"/>
          <w:szCs w:val="22"/>
          <w:lang w:eastAsia="en-US"/>
        </w:rPr>
        <w:t xml:space="preserve"> / (В·с) (табл. 1).</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Уменьшение концентрации носителей заряда при уменьшении мощности магнетрона обусловлено снижением скорости роста пленок, которое может сопровождаться увеличением концентрации кислорода в пленке. Вышеупомянутое увеличение концентрации кислорода в пленке ITO сначала приводит к снижению концентрации электрически активных собственных точечных дефектов n-типа - вакансий кислорода. При дальнейшем росте концентрации кислорода в составе газовой смеси атомы кислорода могут связывать атомы Sn, переводя эту примесь с электрически активного в электрически неактивное состояние путем образования на развитой межзеренной поверхности пленки окислительных фаз.</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Результаты исследования электрических и оптических свойств пленок ITO, полученных при различных температурах осаждения Тп приведены в табл. 2. Влияние на свойства пленок последующего отжига в воздухе при температуре 450 ºС в течение 25 минут в табл. 2 отражено результатами, приведенным в скобках.</w:t>
      </w:r>
    </w:p>
    <w:p w:rsidR="00177844" w:rsidRPr="00C01AFF" w:rsidRDefault="00177844" w:rsidP="00177844">
      <w:pPr>
        <w:ind w:firstLine="550"/>
        <w:jc w:val="both"/>
        <w:rPr>
          <w:rFonts w:eastAsia="Calibri"/>
          <w:sz w:val="22"/>
          <w:szCs w:val="22"/>
          <w:lang w:eastAsia="en-US"/>
        </w:rPr>
      </w:pPr>
      <w:r w:rsidRPr="00C01AFF">
        <w:rPr>
          <w:rFonts w:eastAsia="Calibri"/>
          <w:sz w:val="22"/>
          <w:szCs w:val="22"/>
          <w:lang w:eastAsia="en-US"/>
        </w:rPr>
        <w:t>Анализ данных в табл. 2 показывает, что рост Тп до 250 ºС приводит к снижению поверхностного сопротивления до R &lt;12 Ом/кв, что обусловлено ростом подвижности μ основных носителей заряда на фоне практически постоянной величины концентрации n носителей. При этом величина коэффициента пропускания пленки T</w:t>
      </w:r>
      <w:r w:rsidRPr="00C01AFF">
        <w:rPr>
          <w:rFonts w:eastAsia="Calibri"/>
          <w:sz w:val="22"/>
          <w:szCs w:val="22"/>
          <w:vertAlign w:val="subscript"/>
          <w:lang w:eastAsia="en-US"/>
        </w:rPr>
        <w:t>400-800</w:t>
      </w:r>
      <w:r w:rsidRPr="00C01AFF">
        <w:rPr>
          <w:rFonts w:eastAsia="Calibri"/>
          <w:sz w:val="22"/>
          <w:szCs w:val="22"/>
          <w:lang w:eastAsia="en-US"/>
        </w:rPr>
        <w:t xml:space="preserve"> во всем исследованном интервале температур подложки выше 88%.</w:t>
      </w:r>
    </w:p>
    <w:p w:rsidR="00177844" w:rsidRPr="00C01AFF" w:rsidRDefault="00177844" w:rsidP="00177844">
      <w:pPr>
        <w:ind w:firstLine="7513"/>
        <w:jc w:val="both"/>
        <w:rPr>
          <w:sz w:val="22"/>
          <w:szCs w:val="22"/>
        </w:rPr>
      </w:pPr>
      <w:r w:rsidRPr="00C01AFF">
        <w:rPr>
          <w:sz w:val="22"/>
          <w:szCs w:val="22"/>
        </w:rPr>
        <w:t>Таблица 2</w:t>
      </w:r>
    </w:p>
    <w:tbl>
      <w:tblPr>
        <w:tblW w:w="8654" w:type="dxa"/>
        <w:tblCellSpacing w:w="0" w:type="dxa"/>
        <w:tblBorders>
          <w:top w:val="outset" w:sz="6" w:space="0" w:color="000000"/>
          <w:left w:val="outset" w:sz="6" w:space="0" w:color="000000"/>
          <w:bottom w:val="outset" w:sz="6" w:space="0" w:color="000000"/>
          <w:right w:val="outset" w:sz="6" w:space="0" w:color="000000"/>
        </w:tblBorders>
        <w:tblLayout w:type="fixed"/>
        <w:tblCellMar>
          <w:top w:w="60" w:type="dxa"/>
          <w:left w:w="60" w:type="dxa"/>
          <w:bottom w:w="60" w:type="dxa"/>
          <w:right w:w="60" w:type="dxa"/>
        </w:tblCellMar>
        <w:tblLook w:val="04A0"/>
      </w:tblPr>
      <w:tblGrid>
        <w:gridCol w:w="1505"/>
        <w:gridCol w:w="1021"/>
        <w:gridCol w:w="1021"/>
        <w:gridCol w:w="1021"/>
        <w:gridCol w:w="1022"/>
        <w:gridCol w:w="1021"/>
        <w:gridCol w:w="1021"/>
        <w:gridCol w:w="1022"/>
      </w:tblGrid>
      <w:tr w:rsidR="00177844" w:rsidRPr="00C01AFF" w:rsidTr="00BC3E33">
        <w:trPr>
          <w:trHeight w:val="225"/>
          <w:tblCellSpacing w:w="0" w:type="dxa"/>
        </w:trPr>
        <w:tc>
          <w:tcPr>
            <w:tcW w:w="1505"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left="6" w:right="6" w:hanging="6"/>
              <w:jc w:val="both"/>
              <w:rPr>
                <w:sz w:val="22"/>
                <w:szCs w:val="22"/>
              </w:rPr>
            </w:pPr>
            <w:r w:rsidRPr="00C01AFF">
              <w:rPr>
                <w:sz w:val="22"/>
                <w:szCs w:val="22"/>
              </w:rPr>
              <w:t>Т</w:t>
            </w:r>
            <w:r w:rsidRPr="00C01AFF">
              <w:rPr>
                <w:sz w:val="22"/>
                <w:szCs w:val="22"/>
                <w:vertAlign w:val="subscript"/>
              </w:rPr>
              <w:t>п</w:t>
            </w:r>
            <w:r w:rsidRPr="00C01AFF">
              <w:rPr>
                <w:sz w:val="22"/>
                <w:szCs w:val="22"/>
              </w:rPr>
              <w:t>,</w:t>
            </w:r>
            <w:r w:rsidRPr="00C01AFF">
              <w:rPr>
                <w:sz w:val="22"/>
                <w:szCs w:val="22"/>
                <w:vertAlign w:val="superscript"/>
              </w:rPr>
              <w:t>0</w:t>
            </w:r>
            <w:r w:rsidRPr="00C01AFF">
              <w:rPr>
                <w:sz w:val="22"/>
                <w:szCs w:val="22"/>
              </w:rPr>
              <w:t>С</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20</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200</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250</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300</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350</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400</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tabs>
                <w:tab w:val="left" w:pos="0"/>
              </w:tabs>
              <w:jc w:val="both"/>
              <w:rPr>
                <w:sz w:val="22"/>
                <w:szCs w:val="22"/>
              </w:rPr>
            </w:pPr>
            <w:r w:rsidRPr="00C01AFF">
              <w:rPr>
                <w:sz w:val="22"/>
                <w:szCs w:val="22"/>
              </w:rPr>
              <w:t>450</w:t>
            </w:r>
          </w:p>
        </w:tc>
      </w:tr>
      <w:tr w:rsidR="00177844" w:rsidRPr="00C01AFF" w:rsidTr="00BC3E33">
        <w:trPr>
          <w:trHeight w:val="214"/>
          <w:tblCellSpacing w:w="0" w:type="dxa"/>
        </w:trPr>
        <w:tc>
          <w:tcPr>
            <w:tcW w:w="1505"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t>Δ</w:t>
            </w:r>
            <w:r w:rsidRPr="00C01AFF">
              <w:rPr>
                <w:sz w:val="22"/>
                <w:szCs w:val="22"/>
                <w:vertAlign w:val="subscript"/>
              </w:rPr>
              <w:t>пл</w:t>
            </w:r>
            <w:r w:rsidRPr="00C01AFF">
              <w:rPr>
                <w:sz w:val="22"/>
                <w:szCs w:val="22"/>
              </w:rPr>
              <w:t>, мкм</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0,48</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0,51</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0,50</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0,52</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0,50</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0,48</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tabs>
                <w:tab w:val="left" w:pos="0"/>
              </w:tabs>
              <w:jc w:val="both"/>
              <w:rPr>
                <w:sz w:val="22"/>
                <w:szCs w:val="22"/>
              </w:rPr>
            </w:pPr>
            <w:r w:rsidRPr="00C01AFF">
              <w:rPr>
                <w:sz w:val="22"/>
                <w:szCs w:val="22"/>
              </w:rPr>
              <w:t>0,48</w:t>
            </w:r>
          </w:p>
        </w:tc>
      </w:tr>
      <w:tr w:rsidR="00177844" w:rsidRPr="00C01AFF" w:rsidTr="00BC3E33">
        <w:trPr>
          <w:trHeight w:val="449"/>
          <w:tblCellSpacing w:w="0" w:type="dxa"/>
        </w:trPr>
        <w:tc>
          <w:tcPr>
            <w:tcW w:w="1505"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t>R, Ом/кв</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20,0</w:t>
            </w:r>
          </w:p>
          <w:p w:rsidR="00177844" w:rsidRPr="00C01AFF" w:rsidRDefault="00177844" w:rsidP="00BC3E33">
            <w:pPr>
              <w:jc w:val="both"/>
              <w:rPr>
                <w:sz w:val="22"/>
                <w:szCs w:val="22"/>
              </w:rPr>
            </w:pPr>
            <w:r w:rsidRPr="00C01AFF">
              <w:rPr>
                <w:sz w:val="22"/>
                <w:szCs w:val="22"/>
              </w:rPr>
              <w:lastRenderedPageBreak/>
              <w:t>(48,1)</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lastRenderedPageBreak/>
              <w:t>14,0</w:t>
            </w:r>
          </w:p>
          <w:p w:rsidR="00177844" w:rsidRPr="00C01AFF" w:rsidRDefault="00177844" w:rsidP="00BC3E33">
            <w:pPr>
              <w:jc w:val="both"/>
              <w:rPr>
                <w:sz w:val="22"/>
                <w:szCs w:val="22"/>
              </w:rPr>
            </w:pPr>
            <w:r w:rsidRPr="00C01AFF">
              <w:rPr>
                <w:sz w:val="22"/>
                <w:szCs w:val="22"/>
              </w:rPr>
              <w:lastRenderedPageBreak/>
              <w:t>(42,0)</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lastRenderedPageBreak/>
              <w:t>9,5</w:t>
            </w:r>
          </w:p>
          <w:p w:rsidR="00177844" w:rsidRPr="00C01AFF" w:rsidRDefault="00177844" w:rsidP="00BC3E33">
            <w:pPr>
              <w:jc w:val="both"/>
              <w:rPr>
                <w:sz w:val="22"/>
                <w:szCs w:val="22"/>
              </w:rPr>
            </w:pPr>
            <w:r w:rsidRPr="00C01AFF">
              <w:rPr>
                <w:sz w:val="22"/>
                <w:szCs w:val="22"/>
              </w:rPr>
              <w:lastRenderedPageBreak/>
              <w:t>(32,2)</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lastRenderedPageBreak/>
              <w:t>7,7</w:t>
            </w:r>
          </w:p>
          <w:p w:rsidR="00177844" w:rsidRPr="00C01AFF" w:rsidRDefault="00177844" w:rsidP="00BC3E33">
            <w:pPr>
              <w:jc w:val="both"/>
              <w:rPr>
                <w:sz w:val="22"/>
                <w:szCs w:val="22"/>
              </w:rPr>
            </w:pPr>
            <w:r w:rsidRPr="00C01AFF">
              <w:rPr>
                <w:sz w:val="22"/>
                <w:szCs w:val="22"/>
              </w:rPr>
              <w:lastRenderedPageBreak/>
              <w:t>(26,1)</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lastRenderedPageBreak/>
              <w:t>7,4</w:t>
            </w:r>
          </w:p>
          <w:p w:rsidR="00177844" w:rsidRPr="00C01AFF" w:rsidRDefault="00177844" w:rsidP="00BC3E33">
            <w:pPr>
              <w:jc w:val="both"/>
              <w:rPr>
                <w:sz w:val="22"/>
                <w:szCs w:val="22"/>
              </w:rPr>
            </w:pPr>
            <w:r w:rsidRPr="00C01AFF">
              <w:rPr>
                <w:sz w:val="22"/>
                <w:szCs w:val="22"/>
              </w:rPr>
              <w:lastRenderedPageBreak/>
              <w:t>(20,8)</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lastRenderedPageBreak/>
              <w:t>7,0</w:t>
            </w:r>
          </w:p>
          <w:p w:rsidR="00177844" w:rsidRPr="00C01AFF" w:rsidRDefault="00177844" w:rsidP="00BC3E33">
            <w:pPr>
              <w:jc w:val="both"/>
              <w:rPr>
                <w:sz w:val="22"/>
                <w:szCs w:val="22"/>
              </w:rPr>
            </w:pPr>
            <w:r w:rsidRPr="00C01AFF">
              <w:rPr>
                <w:sz w:val="22"/>
                <w:szCs w:val="22"/>
              </w:rPr>
              <w:lastRenderedPageBreak/>
              <w:t>(20,8)</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tabs>
                <w:tab w:val="left" w:pos="0"/>
              </w:tabs>
              <w:jc w:val="both"/>
              <w:rPr>
                <w:sz w:val="22"/>
                <w:szCs w:val="22"/>
              </w:rPr>
            </w:pPr>
            <w:r w:rsidRPr="00C01AFF">
              <w:rPr>
                <w:sz w:val="22"/>
                <w:szCs w:val="22"/>
              </w:rPr>
              <w:lastRenderedPageBreak/>
              <w:t>6,5</w:t>
            </w:r>
          </w:p>
          <w:p w:rsidR="00177844" w:rsidRPr="00C01AFF" w:rsidRDefault="00177844" w:rsidP="00BC3E33">
            <w:pPr>
              <w:tabs>
                <w:tab w:val="left" w:pos="0"/>
              </w:tabs>
              <w:jc w:val="both"/>
              <w:rPr>
                <w:sz w:val="22"/>
                <w:szCs w:val="22"/>
              </w:rPr>
            </w:pPr>
            <w:r w:rsidRPr="00C01AFF">
              <w:rPr>
                <w:sz w:val="22"/>
                <w:szCs w:val="22"/>
              </w:rPr>
              <w:lastRenderedPageBreak/>
              <w:t>(12,1)</w:t>
            </w:r>
          </w:p>
        </w:tc>
      </w:tr>
      <w:tr w:rsidR="00177844" w:rsidRPr="00C01AFF" w:rsidTr="00BC3E33">
        <w:trPr>
          <w:trHeight w:val="438"/>
          <w:tblCellSpacing w:w="0" w:type="dxa"/>
        </w:trPr>
        <w:tc>
          <w:tcPr>
            <w:tcW w:w="1505"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lastRenderedPageBreak/>
              <w:t>ρ, 10</w:t>
            </w:r>
            <w:r w:rsidRPr="00C01AFF">
              <w:rPr>
                <w:sz w:val="22"/>
                <w:szCs w:val="22"/>
                <w:vertAlign w:val="superscript"/>
              </w:rPr>
              <w:t>-4</w:t>
            </w:r>
            <w:r w:rsidRPr="00C01AFF">
              <w:rPr>
                <w:sz w:val="22"/>
                <w:szCs w:val="22"/>
              </w:rPr>
              <w:t xml:space="preserve"> Ом·см</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9,6</w:t>
            </w:r>
          </w:p>
          <w:p w:rsidR="00177844" w:rsidRPr="00C01AFF" w:rsidRDefault="00177844" w:rsidP="00BC3E33">
            <w:pPr>
              <w:jc w:val="both"/>
              <w:rPr>
                <w:sz w:val="22"/>
                <w:szCs w:val="22"/>
              </w:rPr>
            </w:pPr>
            <w:r w:rsidRPr="00C01AFF">
              <w:rPr>
                <w:sz w:val="22"/>
                <w:szCs w:val="22"/>
              </w:rPr>
              <w:t>(23)</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7,2</w:t>
            </w:r>
          </w:p>
          <w:p w:rsidR="00177844" w:rsidRPr="00C01AFF" w:rsidRDefault="00177844" w:rsidP="00BC3E33">
            <w:pPr>
              <w:jc w:val="both"/>
              <w:rPr>
                <w:sz w:val="22"/>
                <w:szCs w:val="22"/>
              </w:rPr>
            </w:pPr>
            <w:r w:rsidRPr="00C01AFF">
              <w:rPr>
                <w:sz w:val="22"/>
                <w:szCs w:val="22"/>
              </w:rPr>
              <w:t>(21,4)</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4,7</w:t>
            </w:r>
          </w:p>
          <w:p w:rsidR="00177844" w:rsidRPr="00C01AFF" w:rsidRDefault="00177844" w:rsidP="00BC3E33">
            <w:pPr>
              <w:jc w:val="both"/>
              <w:rPr>
                <w:sz w:val="22"/>
                <w:szCs w:val="22"/>
              </w:rPr>
            </w:pPr>
            <w:r w:rsidRPr="00C01AFF">
              <w:rPr>
                <w:sz w:val="22"/>
                <w:szCs w:val="22"/>
              </w:rPr>
              <w:t>(16,1)</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4,0</w:t>
            </w:r>
          </w:p>
          <w:p w:rsidR="00177844" w:rsidRPr="00C01AFF" w:rsidRDefault="00177844" w:rsidP="00BC3E33">
            <w:pPr>
              <w:jc w:val="both"/>
              <w:rPr>
                <w:sz w:val="22"/>
                <w:szCs w:val="22"/>
              </w:rPr>
            </w:pPr>
            <w:r w:rsidRPr="00C01AFF">
              <w:rPr>
                <w:sz w:val="22"/>
                <w:szCs w:val="22"/>
              </w:rPr>
              <w:t>(13,6)</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3,7</w:t>
            </w:r>
          </w:p>
          <w:p w:rsidR="00177844" w:rsidRPr="00C01AFF" w:rsidRDefault="00177844" w:rsidP="00BC3E33">
            <w:pPr>
              <w:jc w:val="both"/>
              <w:rPr>
                <w:sz w:val="22"/>
                <w:szCs w:val="22"/>
              </w:rPr>
            </w:pPr>
            <w:r w:rsidRPr="00C01AFF">
              <w:rPr>
                <w:sz w:val="22"/>
                <w:szCs w:val="22"/>
              </w:rPr>
              <w:t>(10,4)</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3,4</w:t>
            </w:r>
          </w:p>
          <w:p w:rsidR="00177844" w:rsidRPr="00C01AFF" w:rsidRDefault="00177844" w:rsidP="00BC3E33">
            <w:pPr>
              <w:jc w:val="both"/>
              <w:rPr>
                <w:sz w:val="22"/>
                <w:szCs w:val="22"/>
              </w:rPr>
            </w:pPr>
            <w:r w:rsidRPr="00C01AFF">
              <w:rPr>
                <w:sz w:val="22"/>
                <w:szCs w:val="22"/>
              </w:rPr>
              <w:t>(10,0)</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tabs>
                <w:tab w:val="left" w:pos="0"/>
              </w:tabs>
              <w:jc w:val="both"/>
              <w:rPr>
                <w:sz w:val="22"/>
                <w:szCs w:val="22"/>
              </w:rPr>
            </w:pPr>
            <w:r w:rsidRPr="00C01AFF">
              <w:rPr>
                <w:sz w:val="22"/>
                <w:szCs w:val="22"/>
              </w:rPr>
              <w:t>3,1</w:t>
            </w:r>
          </w:p>
          <w:p w:rsidR="00177844" w:rsidRPr="00C01AFF" w:rsidRDefault="00177844" w:rsidP="00BC3E33">
            <w:pPr>
              <w:tabs>
                <w:tab w:val="left" w:pos="0"/>
              </w:tabs>
              <w:jc w:val="both"/>
              <w:rPr>
                <w:sz w:val="22"/>
                <w:szCs w:val="22"/>
              </w:rPr>
            </w:pPr>
            <w:r w:rsidRPr="00C01AFF">
              <w:rPr>
                <w:sz w:val="22"/>
                <w:szCs w:val="22"/>
              </w:rPr>
              <w:t>(5,8)</w:t>
            </w:r>
          </w:p>
        </w:tc>
      </w:tr>
      <w:tr w:rsidR="00177844" w:rsidRPr="00C01AFF" w:rsidTr="00BC3E33">
        <w:trPr>
          <w:trHeight w:val="438"/>
          <w:tblCellSpacing w:w="0" w:type="dxa"/>
        </w:trPr>
        <w:tc>
          <w:tcPr>
            <w:tcW w:w="1505"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t>μ, см</w:t>
            </w:r>
            <w:r w:rsidRPr="00C01AFF">
              <w:rPr>
                <w:sz w:val="22"/>
                <w:szCs w:val="22"/>
                <w:vertAlign w:val="superscript"/>
              </w:rPr>
              <w:t>2</w:t>
            </w:r>
            <w:r w:rsidRPr="00C01AFF">
              <w:rPr>
                <w:sz w:val="22"/>
                <w:szCs w:val="22"/>
              </w:rPr>
              <w:t>/(В·с)</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11</w:t>
            </w:r>
          </w:p>
          <w:p w:rsidR="00177844" w:rsidRPr="00C01AFF" w:rsidRDefault="00177844" w:rsidP="00BC3E33">
            <w:pPr>
              <w:jc w:val="both"/>
              <w:rPr>
                <w:sz w:val="22"/>
                <w:szCs w:val="22"/>
              </w:rPr>
            </w:pPr>
            <w:r w:rsidRPr="00C01AFF">
              <w:rPr>
                <w:sz w:val="22"/>
                <w:szCs w:val="22"/>
              </w:rPr>
              <w:t>(21)</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15</w:t>
            </w:r>
          </w:p>
          <w:p w:rsidR="00177844" w:rsidRPr="00C01AFF" w:rsidRDefault="00177844" w:rsidP="00BC3E33">
            <w:pPr>
              <w:jc w:val="both"/>
              <w:rPr>
                <w:sz w:val="22"/>
                <w:szCs w:val="22"/>
              </w:rPr>
            </w:pPr>
            <w:r w:rsidRPr="00C01AFF">
              <w:rPr>
                <w:sz w:val="22"/>
                <w:szCs w:val="22"/>
              </w:rPr>
              <w:t>(24)</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22</w:t>
            </w:r>
          </w:p>
          <w:p w:rsidR="00177844" w:rsidRPr="00C01AFF" w:rsidRDefault="00177844" w:rsidP="00BC3E33">
            <w:pPr>
              <w:jc w:val="both"/>
              <w:rPr>
                <w:sz w:val="22"/>
                <w:szCs w:val="22"/>
              </w:rPr>
            </w:pPr>
            <w:r w:rsidRPr="00C01AFF">
              <w:rPr>
                <w:sz w:val="22"/>
                <w:szCs w:val="22"/>
              </w:rPr>
              <w:t>(27)</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26</w:t>
            </w:r>
          </w:p>
          <w:p w:rsidR="00177844" w:rsidRPr="00C01AFF" w:rsidRDefault="00177844" w:rsidP="00BC3E33">
            <w:pPr>
              <w:jc w:val="both"/>
              <w:rPr>
                <w:sz w:val="22"/>
                <w:szCs w:val="22"/>
              </w:rPr>
            </w:pPr>
            <w:r w:rsidRPr="00C01AFF">
              <w:rPr>
                <w:sz w:val="22"/>
                <w:szCs w:val="22"/>
              </w:rPr>
              <w:t>(30)</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29</w:t>
            </w:r>
          </w:p>
          <w:p w:rsidR="00177844" w:rsidRPr="00C01AFF" w:rsidRDefault="00177844" w:rsidP="00BC3E33">
            <w:pPr>
              <w:jc w:val="both"/>
              <w:rPr>
                <w:sz w:val="22"/>
                <w:szCs w:val="22"/>
              </w:rPr>
            </w:pPr>
            <w:r w:rsidRPr="00C01AFF">
              <w:rPr>
                <w:sz w:val="22"/>
                <w:szCs w:val="22"/>
              </w:rPr>
              <w:t>(32)</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32</w:t>
            </w:r>
          </w:p>
          <w:p w:rsidR="00177844" w:rsidRPr="00C01AFF" w:rsidRDefault="00177844" w:rsidP="00BC3E33">
            <w:pPr>
              <w:jc w:val="both"/>
              <w:rPr>
                <w:sz w:val="22"/>
                <w:szCs w:val="22"/>
              </w:rPr>
            </w:pPr>
            <w:r w:rsidRPr="00C01AFF">
              <w:rPr>
                <w:sz w:val="22"/>
                <w:szCs w:val="22"/>
              </w:rPr>
              <w:t>(36)</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tabs>
                <w:tab w:val="left" w:pos="0"/>
              </w:tabs>
              <w:jc w:val="both"/>
              <w:rPr>
                <w:sz w:val="22"/>
                <w:szCs w:val="22"/>
              </w:rPr>
            </w:pPr>
            <w:r w:rsidRPr="00C01AFF">
              <w:rPr>
                <w:sz w:val="22"/>
                <w:szCs w:val="22"/>
              </w:rPr>
              <w:t>34</w:t>
            </w:r>
          </w:p>
          <w:p w:rsidR="00177844" w:rsidRPr="00C01AFF" w:rsidRDefault="00177844" w:rsidP="00BC3E33">
            <w:pPr>
              <w:tabs>
                <w:tab w:val="left" w:pos="0"/>
              </w:tabs>
              <w:jc w:val="both"/>
              <w:rPr>
                <w:sz w:val="22"/>
                <w:szCs w:val="22"/>
              </w:rPr>
            </w:pPr>
            <w:r w:rsidRPr="00C01AFF">
              <w:rPr>
                <w:sz w:val="22"/>
                <w:szCs w:val="22"/>
              </w:rPr>
              <w:t>(36)</w:t>
            </w:r>
          </w:p>
        </w:tc>
      </w:tr>
      <w:tr w:rsidR="00177844" w:rsidRPr="00C01AFF" w:rsidTr="00BC3E33">
        <w:trPr>
          <w:trHeight w:val="449"/>
          <w:tblCellSpacing w:w="0" w:type="dxa"/>
        </w:trPr>
        <w:tc>
          <w:tcPr>
            <w:tcW w:w="1505"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t>n, 10</w:t>
            </w:r>
            <w:r w:rsidRPr="00C01AFF">
              <w:rPr>
                <w:sz w:val="22"/>
                <w:szCs w:val="22"/>
                <w:vertAlign w:val="superscript"/>
              </w:rPr>
              <w:t>20</w:t>
            </w:r>
            <w:r w:rsidRPr="00C01AFF">
              <w:rPr>
                <w:sz w:val="22"/>
                <w:szCs w:val="22"/>
              </w:rPr>
              <w:t>см</w:t>
            </w:r>
            <w:r w:rsidRPr="00C01AFF">
              <w:rPr>
                <w:sz w:val="22"/>
                <w:szCs w:val="22"/>
                <w:vertAlign w:val="superscript"/>
              </w:rPr>
              <w:t>-3</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5,9</w:t>
            </w:r>
          </w:p>
          <w:p w:rsidR="00177844" w:rsidRPr="00C01AFF" w:rsidRDefault="00177844" w:rsidP="00BC3E33">
            <w:pPr>
              <w:jc w:val="both"/>
              <w:rPr>
                <w:sz w:val="22"/>
                <w:szCs w:val="22"/>
              </w:rPr>
            </w:pPr>
            <w:r w:rsidRPr="00C01AFF">
              <w:rPr>
                <w:sz w:val="22"/>
                <w:szCs w:val="22"/>
              </w:rPr>
              <w:t>(1,3)</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5,8</w:t>
            </w:r>
          </w:p>
          <w:p w:rsidR="00177844" w:rsidRPr="00C01AFF" w:rsidRDefault="00177844" w:rsidP="00BC3E33">
            <w:pPr>
              <w:jc w:val="both"/>
              <w:rPr>
                <w:sz w:val="22"/>
                <w:szCs w:val="22"/>
              </w:rPr>
            </w:pPr>
            <w:r w:rsidRPr="00C01AFF">
              <w:rPr>
                <w:sz w:val="22"/>
                <w:szCs w:val="22"/>
              </w:rPr>
              <w:t>(1,2)</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6,0</w:t>
            </w:r>
          </w:p>
          <w:p w:rsidR="00177844" w:rsidRPr="00C01AFF" w:rsidRDefault="00177844" w:rsidP="00BC3E33">
            <w:pPr>
              <w:jc w:val="both"/>
              <w:rPr>
                <w:sz w:val="22"/>
                <w:szCs w:val="22"/>
              </w:rPr>
            </w:pPr>
            <w:r w:rsidRPr="00C01AFF">
              <w:rPr>
                <w:sz w:val="22"/>
                <w:szCs w:val="22"/>
              </w:rPr>
              <w:t>(1,4)</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6,0</w:t>
            </w:r>
          </w:p>
          <w:p w:rsidR="00177844" w:rsidRPr="00C01AFF" w:rsidRDefault="00177844" w:rsidP="00BC3E33">
            <w:pPr>
              <w:jc w:val="both"/>
              <w:rPr>
                <w:sz w:val="22"/>
                <w:szCs w:val="22"/>
              </w:rPr>
            </w:pPr>
            <w:r w:rsidRPr="00C01AFF">
              <w:rPr>
                <w:sz w:val="22"/>
                <w:szCs w:val="22"/>
              </w:rPr>
              <w:t>(1,5)</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5,8</w:t>
            </w:r>
          </w:p>
          <w:p w:rsidR="00177844" w:rsidRPr="00C01AFF" w:rsidRDefault="00177844" w:rsidP="00BC3E33">
            <w:pPr>
              <w:jc w:val="both"/>
              <w:rPr>
                <w:sz w:val="22"/>
                <w:szCs w:val="22"/>
              </w:rPr>
            </w:pPr>
            <w:r w:rsidRPr="00C01AFF">
              <w:rPr>
                <w:sz w:val="22"/>
                <w:szCs w:val="22"/>
              </w:rPr>
              <w:t>(1,4)</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5,8</w:t>
            </w:r>
          </w:p>
          <w:p w:rsidR="00177844" w:rsidRPr="00C01AFF" w:rsidRDefault="00177844" w:rsidP="00BC3E33">
            <w:pPr>
              <w:jc w:val="both"/>
              <w:rPr>
                <w:sz w:val="22"/>
                <w:szCs w:val="22"/>
              </w:rPr>
            </w:pPr>
            <w:r w:rsidRPr="00C01AFF">
              <w:rPr>
                <w:sz w:val="22"/>
                <w:szCs w:val="22"/>
              </w:rPr>
              <w:t>(1,7)</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tabs>
                <w:tab w:val="left" w:pos="0"/>
              </w:tabs>
              <w:jc w:val="both"/>
              <w:rPr>
                <w:sz w:val="22"/>
                <w:szCs w:val="22"/>
              </w:rPr>
            </w:pPr>
            <w:r w:rsidRPr="00C01AFF">
              <w:rPr>
                <w:sz w:val="22"/>
                <w:szCs w:val="22"/>
              </w:rPr>
              <w:t>5,9</w:t>
            </w:r>
          </w:p>
          <w:p w:rsidR="00177844" w:rsidRPr="00C01AFF" w:rsidRDefault="00177844" w:rsidP="00BC3E33">
            <w:pPr>
              <w:tabs>
                <w:tab w:val="left" w:pos="0"/>
              </w:tabs>
              <w:jc w:val="both"/>
              <w:rPr>
                <w:sz w:val="22"/>
                <w:szCs w:val="22"/>
              </w:rPr>
            </w:pPr>
            <w:r w:rsidRPr="00C01AFF">
              <w:rPr>
                <w:sz w:val="22"/>
                <w:szCs w:val="22"/>
              </w:rPr>
              <w:t>(2,9)</w:t>
            </w:r>
          </w:p>
        </w:tc>
      </w:tr>
      <w:tr w:rsidR="00177844" w:rsidRPr="00C01AFF" w:rsidTr="00BC3E33">
        <w:trPr>
          <w:trHeight w:val="438"/>
          <w:tblCellSpacing w:w="0" w:type="dxa"/>
        </w:trPr>
        <w:tc>
          <w:tcPr>
            <w:tcW w:w="1505"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ind w:hanging="6"/>
              <w:jc w:val="both"/>
              <w:rPr>
                <w:sz w:val="22"/>
                <w:szCs w:val="22"/>
              </w:rPr>
            </w:pPr>
            <w:r w:rsidRPr="00C01AFF">
              <w:rPr>
                <w:sz w:val="22"/>
                <w:szCs w:val="22"/>
              </w:rPr>
              <w:t>T</w:t>
            </w:r>
            <w:r w:rsidRPr="00C01AFF">
              <w:rPr>
                <w:sz w:val="22"/>
                <w:szCs w:val="22"/>
                <w:vertAlign w:val="subscript"/>
              </w:rPr>
              <w:t>400-800</w:t>
            </w:r>
            <w:r w:rsidRPr="00C01AFF">
              <w:rPr>
                <w:sz w:val="22"/>
                <w:szCs w:val="22"/>
              </w:rPr>
              <w:t>, %</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86,2</w:t>
            </w:r>
          </w:p>
          <w:p w:rsidR="00177844" w:rsidRPr="00C01AFF" w:rsidRDefault="00177844" w:rsidP="00BC3E33">
            <w:pPr>
              <w:jc w:val="both"/>
              <w:rPr>
                <w:sz w:val="22"/>
                <w:szCs w:val="22"/>
              </w:rPr>
            </w:pPr>
            <w:r w:rsidRPr="00C01AFF">
              <w:rPr>
                <w:sz w:val="22"/>
                <w:szCs w:val="22"/>
              </w:rPr>
              <w:t>(89,1)</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89,6</w:t>
            </w:r>
          </w:p>
          <w:p w:rsidR="00177844" w:rsidRPr="00C01AFF" w:rsidRDefault="00177844" w:rsidP="00BC3E33">
            <w:pPr>
              <w:jc w:val="both"/>
              <w:rPr>
                <w:sz w:val="22"/>
                <w:szCs w:val="22"/>
              </w:rPr>
            </w:pPr>
            <w:r w:rsidRPr="00C01AFF">
              <w:rPr>
                <w:sz w:val="22"/>
                <w:szCs w:val="22"/>
              </w:rPr>
              <w:t>(90,4)</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89,7</w:t>
            </w:r>
          </w:p>
          <w:p w:rsidR="00177844" w:rsidRPr="00C01AFF" w:rsidRDefault="00177844" w:rsidP="00BC3E33">
            <w:pPr>
              <w:jc w:val="both"/>
              <w:rPr>
                <w:sz w:val="22"/>
                <w:szCs w:val="22"/>
              </w:rPr>
            </w:pPr>
            <w:r w:rsidRPr="00C01AFF">
              <w:rPr>
                <w:sz w:val="22"/>
                <w:szCs w:val="22"/>
              </w:rPr>
              <w:t>(90,5)</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89,0</w:t>
            </w:r>
          </w:p>
          <w:p w:rsidR="00177844" w:rsidRPr="00C01AFF" w:rsidRDefault="00177844" w:rsidP="00BC3E33">
            <w:pPr>
              <w:jc w:val="both"/>
              <w:rPr>
                <w:sz w:val="22"/>
                <w:szCs w:val="22"/>
              </w:rPr>
            </w:pPr>
            <w:r w:rsidRPr="00C01AFF">
              <w:rPr>
                <w:sz w:val="22"/>
                <w:szCs w:val="22"/>
              </w:rPr>
              <w:t>(90,2)</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88,9</w:t>
            </w:r>
          </w:p>
          <w:p w:rsidR="00177844" w:rsidRPr="00C01AFF" w:rsidRDefault="00177844" w:rsidP="00BC3E33">
            <w:pPr>
              <w:jc w:val="both"/>
              <w:rPr>
                <w:sz w:val="22"/>
                <w:szCs w:val="22"/>
              </w:rPr>
            </w:pPr>
            <w:r w:rsidRPr="00C01AFF">
              <w:rPr>
                <w:sz w:val="22"/>
                <w:szCs w:val="22"/>
              </w:rPr>
              <w:t>(90,6)</w:t>
            </w:r>
          </w:p>
        </w:tc>
        <w:tc>
          <w:tcPr>
            <w:tcW w:w="1021"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jc w:val="both"/>
              <w:rPr>
                <w:sz w:val="22"/>
                <w:szCs w:val="22"/>
              </w:rPr>
            </w:pPr>
            <w:r w:rsidRPr="00C01AFF">
              <w:rPr>
                <w:sz w:val="22"/>
                <w:szCs w:val="22"/>
              </w:rPr>
              <w:t>88,5</w:t>
            </w:r>
          </w:p>
          <w:p w:rsidR="00177844" w:rsidRPr="00C01AFF" w:rsidRDefault="00177844" w:rsidP="00BC3E33">
            <w:pPr>
              <w:jc w:val="both"/>
              <w:rPr>
                <w:sz w:val="22"/>
                <w:szCs w:val="22"/>
              </w:rPr>
            </w:pPr>
            <w:r w:rsidRPr="00C01AFF">
              <w:rPr>
                <w:sz w:val="22"/>
                <w:szCs w:val="22"/>
              </w:rPr>
              <w:t>(90,1)</w:t>
            </w:r>
          </w:p>
        </w:tc>
        <w:tc>
          <w:tcPr>
            <w:tcW w:w="1022" w:type="dxa"/>
            <w:tcBorders>
              <w:top w:val="outset" w:sz="6" w:space="0" w:color="000000"/>
              <w:left w:val="outset" w:sz="6" w:space="0" w:color="000000"/>
              <w:bottom w:val="outset" w:sz="6" w:space="0" w:color="000000"/>
              <w:right w:val="outset" w:sz="6" w:space="0" w:color="000000"/>
            </w:tcBorders>
          </w:tcPr>
          <w:p w:rsidR="00177844" w:rsidRPr="00C01AFF" w:rsidRDefault="00177844" w:rsidP="00BC3E33">
            <w:pPr>
              <w:tabs>
                <w:tab w:val="left" w:pos="0"/>
              </w:tabs>
              <w:jc w:val="both"/>
              <w:rPr>
                <w:sz w:val="22"/>
                <w:szCs w:val="22"/>
              </w:rPr>
            </w:pPr>
            <w:r w:rsidRPr="00C01AFF">
              <w:rPr>
                <w:sz w:val="22"/>
                <w:szCs w:val="22"/>
              </w:rPr>
              <w:t>88,6</w:t>
            </w:r>
          </w:p>
          <w:p w:rsidR="00177844" w:rsidRPr="00C01AFF" w:rsidRDefault="00177844" w:rsidP="00BC3E33">
            <w:pPr>
              <w:tabs>
                <w:tab w:val="left" w:pos="0"/>
              </w:tabs>
              <w:jc w:val="both"/>
              <w:rPr>
                <w:sz w:val="22"/>
                <w:szCs w:val="22"/>
              </w:rPr>
            </w:pPr>
            <w:r w:rsidRPr="00C01AFF">
              <w:rPr>
                <w:sz w:val="22"/>
                <w:szCs w:val="22"/>
              </w:rPr>
              <w:t>(89,5)</w:t>
            </w:r>
          </w:p>
        </w:tc>
      </w:tr>
    </w:tbl>
    <w:p w:rsidR="00177844" w:rsidRDefault="00177844" w:rsidP="00177844">
      <w:pPr>
        <w:ind w:firstLine="550"/>
        <w:jc w:val="both"/>
        <w:rPr>
          <w:rFonts w:eastAsia="Calibri"/>
          <w:sz w:val="22"/>
          <w:szCs w:val="22"/>
          <w:lang w:eastAsia="en-US"/>
        </w:rPr>
      </w:pPr>
      <w:r w:rsidRPr="00C01AFF">
        <w:rPr>
          <w:rFonts w:eastAsia="Calibri"/>
          <w:sz w:val="22"/>
          <w:szCs w:val="22"/>
          <w:lang w:eastAsia="en-US"/>
        </w:rPr>
        <w:t>Таким образом, по сочетанию оптических и электрических свойств в исходном состоянии пленки ITO, полученные на стеклянных подложках в интервале температур 250-450 ºС могут быть использованы в конструкциях высокоэффективных солнечных элементов.</w:t>
      </w:r>
    </w:p>
    <w:p w:rsidR="00177844" w:rsidRPr="00C01AFF" w:rsidRDefault="00177844" w:rsidP="00177844">
      <w:pPr>
        <w:ind w:firstLine="550"/>
        <w:jc w:val="both"/>
        <w:rPr>
          <w:rFonts w:eastAsia="Calibri"/>
          <w:sz w:val="22"/>
          <w:szCs w:val="22"/>
          <w:lang w:eastAsia="en-US"/>
        </w:rPr>
      </w:pPr>
    </w:p>
    <w:p w:rsidR="00177844" w:rsidRPr="00BF4776" w:rsidRDefault="00177844" w:rsidP="00177844">
      <w:pPr>
        <w:jc w:val="both"/>
        <w:rPr>
          <w:rFonts w:eastAsia="Calibri"/>
          <w:b/>
          <w:sz w:val="22"/>
          <w:szCs w:val="22"/>
          <w:lang w:val="en-US" w:eastAsia="en-US"/>
        </w:rPr>
      </w:pPr>
      <w:r>
        <w:rPr>
          <w:rFonts w:eastAsia="Calibri"/>
          <w:b/>
          <w:sz w:val="22"/>
          <w:szCs w:val="22"/>
          <w:lang w:eastAsia="en-US"/>
        </w:rPr>
        <w:t>Список</w:t>
      </w:r>
      <w:r w:rsidRPr="00BF4776">
        <w:rPr>
          <w:rFonts w:eastAsia="Calibri"/>
          <w:b/>
          <w:sz w:val="22"/>
          <w:szCs w:val="22"/>
          <w:lang w:val="en-US" w:eastAsia="en-US"/>
        </w:rPr>
        <w:t xml:space="preserve"> </w:t>
      </w:r>
      <w:r>
        <w:rPr>
          <w:rFonts w:eastAsia="Calibri"/>
          <w:b/>
          <w:sz w:val="22"/>
          <w:szCs w:val="22"/>
          <w:lang w:eastAsia="en-US"/>
        </w:rPr>
        <w:t>л</w:t>
      </w:r>
      <w:r w:rsidRPr="00C01AFF">
        <w:rPr>
          <w:rFonts w:eastAsia="Calibri"/>
          <w:b/>
          <w:sz w:val="22"/>
          <w:szCs w:val="22"/>
          <w:lang w:eastAsia="en-US"/>
        </w:rPr>
        <w:t>итератур</w:t>
      </w:r>
      <w:r>
        <w:rPr>
          <w:rFonts w:eastAsia="Calibri"/>
          <w:b/>
          <w:sz w:val="22"/>
          <w:szCs w:val="22"/>
          <w:lang w:eastAsia="en-US"/>
        </w:rPr>
        <w:t>ы</w:t>
      </w:r>
      <w:r w:rsidRPr="00BF4776">
        <w:rPr>
          <w:rFonts w:eastAsia="Calibri"/>
          <w:b/>
          <w:sz w:val="22"/>
          <w:szCs w:val="22"/>
          <w:lang w:val="en-US" w:eastAsia="en-US"/>
        </w:rPr>
        <w:t>:</w:t>
      </w:r>
    </w:p>
    <w:p w:rsidR="00177844" w:rsidRPr="00C01AFF" w:rsidRDefault="00177844" w:rsidP="00177844">
      <w:pPr>
        <w:tabs>
          <w:tab w:val="left" w:pos="284"/>
        </w:tabs>
        <w:jc w:val="both"/>
        <w:rPr>
          <w:rFonts w:eastAsia="Calibri"/>
          <w:sz w:val="22"/>
          <w:szCs w:val="22"/>
          <w:lang w:val="en-US" w:eastAsia="en-US"/>
        </w:rPr>
      </w:pPr>
      <w:r w:rsidRPr="00C01AFF">
        <w:rPr>
          <w:rFonts w:eastAsia="Calibri"/>
          <w:sz w:val="22"/>
          <w:szCs w:val="22"/>
          <w:lang w:val="en-US" w:eastAsia="en-US"/>
        </w:rPr>
        <w:t>1. Powell R.C., Sasala R.A., Doper G., Mc Master Development of thin film CdTe photovoltaics // Teshnical Digest of Internetional PVCS-9: Proceeding of the conference. – Myazaki (</w:t>
      </w:r>
      <w:smartTag w:uri="urn:schemas-microsoft-com:office:smarttags" w:element="country-region">
        <w:smartTag w:uri="urn:schemas-microsoft-com:office:smarttags" w:element="place">
          <w:r w:rsidRPr="00C01AFF">
            <w:rPr>
              <w:rFonts w:eastAsia="Calibri"/>
              <w:sz w:val="22"/>
              <w:szCs w:val="22"/>
              <w:lang w:val="en-US" w:eastAsia="en-US"/>
            </w:rPr>
            <w:t>Japan</w:t>
          </w:r>
        </w:smartTag>
      </w:smartTag>
      <w:r w:rsidRPr="00C01AFF">
        <w:rPr>
          <w:rFonts w:eastAsia="Calibri"/>
          <w:sz w:val="22"/>
          <w:szCs w:val="22"/>
          <w:lang w:val="en-US" w:eastAsia="en-US"/>
        </w:rPr>
        <w:t>). – 1995. p.117-120.</w:t>
      </w:r>
    </w:p>
    <w:p w:rsidR="00177844" w:rsidRPr="00C01AFF" w:rsidRDefault="00177844" w:rsidP="00177844">
      <w:pPr>
        <w:tabs>
          <w:tab w:val="left" w:pos="284"/>
        </w:tabs>
        <w:jc w:val="both"/>
        <w:rPr>
          <w:rFonts w:eastAsia="Calibri"/>
          <w:sz w:val="22"/>
          <w:szCs w:val="22"/>
          <w:lang w:val="en-US" w:eastAsia="en-US"/>
        </w:rPr>
      </w:pPr>
      <w:r w:rsidRPr="00C01AFF">
        <w:rPr>
          <w:rFonts w:eastAsia="Calibri"/>
          <w:sz w:val="22"/>
          <w:szCs w:val="22"/>
          <w:lang w:val="en-US" w:eastAsia="en-US"/>
        </w:rPr>
        <w:t>2. Tahar R., Ban Т., Ohya Y., Takahashi Y. Tin doped indium thin films: Electrical properties // J. Appl. Phys. 1998. - Vol. 83. - P. 2631 - 2645.</w:t>
      </w:r>
    </w:p>
    <w:p w:rsidR="00177844" w:rsidRPr="00C01AFF" w:rsidRDefault="00177844" w:rsidP="00177844">
      <w:pPr>
        <w:tabs>
          <w:tab w:val="left" w:pos="284"/>
        </w:tabs>
        <w:jc w:val="both"/>
        <w:rPr>
          <w:rFonts w:eastAsia="Calibri"/>
          <w:sz w:val="22"/>
          <w:szCs w:val="22"/>
          <w:lang w:val="en-US" w:eastAsia="en-US"/>
        </w:rPr>
      </w:pPr>
      <w:r w:rsidRPr="00C01AFF">
        <w:rPr>
          <w:rFonts w:eastAsia="Calibri"/>
          <w:sz w:val="22"/>
          <w:szCs w:val="22"/>
          <w:lang w:val="en-US" w:eastAsia="en-US"/>
        </w:rPr>
        <w:t xml:space="preserve">3. Chapter </w:t>
      </w:r>
      <w:smartTag w:uri="urn:schemas-microsoft-com:office:smarttags" w:element="metricconverter">
        <w:smartTagPr>
          <w:attr w:name="ProductID" w:val="1 in"/>
        </w:smartTagPr>
        <w:r w:rsidRPr="00C01AFF">
          <w:rPr>
            <w:rFonts w:eastAsia="Calibri"/>
            <w:sz w:val="22"/>
            <w:szCs w:val="22"/>
            <w:lang w:val="en-US" w:eastAsia="en-US"/>
          </w:rPr>
          <w:t>1 in</w:t>
        </w:r>
      </w:smartTag>
      <w:r w:rsidRPr="00C01AFF">
        <w:rPr>
          <w:rFonts w:eastAsia="Calibri"/>
          <w:sz w:val="22"/>
          <w:szCs w:val="22"/>
          <w:lang w:val="en-US" w:eastAsia="en-US"/>
        </w:rPr>
        <w:t xml:space="preserve"> Handbook of Thin Film Materials, Vol. 1, ‘Deposition and Processing of Thin Films’, Edited by H. S. Nalwa, Academic Press, San Diego, 2002, pp. 1-102.</w:t>
      </w:r>
    </w:p>
    <w:p w:rsidR="00177844" w:rsidRPr="00C01AFF" w:rsidRDefault="00177844" w:rsidP="00177844">
      <w:pPr>
        <w:tabs>
          <w:tab w:val="left" w:pos="284"/>
        </w:tabs>
        <w:jc w:val="both"/>
        <w:rPr>
          <w:rFonts w:eastAsia="Calibri"/>
          <w:sz w:val="22"/>
          <w:szCs w:val="22"/>
          <w:lang w:val="en-US" w:eastAsia="en-US"/>
        </w:rPr>
      </w:pPr>
      <w:r w:rsidRPr="00C01AFF">
        <w:rPr>
          <w:rFonts w:eastAsia="Calibri"/>
          <w:sz w:val="22"/>
          <w:szCs w:val="22"/>
          <w:lang w:val="en-US" w:eastAsia="en-US"/>
        </w:rPr>
        <w:t>4. Kim K.H., Park K.C., Ma D.Y. Structural and optical properties of aluminum doped zinc oxide films prepared by radio frequency magnetron sputtering // J.Appl. Phys. – 1997. Vol. 81, №12. – p. 7764-7771.</w:t>
      </w:r>
    </w:p>
    <w:p w:rsidR="00177844" w:rsidRPr="00C01AFF" w:rsidRDefault="00177844" w:rsidP="00177844">
      <w:pPr>
        <w:tabs>
          <w:tab w:val="left" w:pos="284"/>
        </w:tabs>
        <w:jc w:val="both"/>
        <w:rPr>
          <w:rFonts w:eastAsia="Calibri"/>
          <w:sz w:val="22"/>
          <w:szCs w:val="22"/>
          <w:lang w:val="en-US" w:eastAsia="en-US"/>
        </w:rPr>
      </w:pPr>
      <w:r w:rsidRPr="00C01AFF">
        <w:rPr>
          <w:rFonts w:eastAsia="Calibri"/>
          <w:sz w:val="22"/>
          <w:szCs w:val="22"/>
          <w:lang w:val="en-US" w:eastAsia="en-US"/>
        </w:rPr>
        <w:t>5. Martinez M.A. Herrero J., Guillen G. Preparation of rf-magnetron sputter ITO films at room temperature for their application in solar cells // Procciding of 13</w:t>
      </w:r>
      <w:r w:rsidRPr="00C01AFF">
        <w:rPr>
          <w:rFonts w:eastAsia="Calibri"/>
          <w:sz w:val="22"/>
          <w:szCs w:val="22"/>
          <w:vertAlign w:val="superscript"/>
          <w:lang w:val="en-US" w:eastAsia="en-US"/>
        </w:rPr>
        <w:t>th</w:t>
      </w:r>
      <w:r w:rsidRPr="00C01AFF">
        <w:rPr>
          <w:rFonts w:eastAsia="Calibri"/>
          <w:sz w:val="22"/>
          <w:szCs w:val="22"/>
          <w:lang w:val="en-US" w:eastAsia="en-US"/>
        </w:rPr>
        <w:t xml:space="preserve"> European Photovoltaic Solar Energy Conference. – Nice (</w:t>
      </w:r>
      <w:smartTag w:uri="urn:schemas-microsoft-com:office:smarttags" w:element="country-region">
        <w:smartTag w:uri="urn:schemas-microsoft-com:office:smarttags" w:element="place">
          <w:r w:rsidRPr="00C01AFF">
            <w:rPr>
              <w:rFonts w:eastAsia="Calibri"/>
              <w:sz w:val="22"/>
              <w:szCs w:val="22"/>
              <w:lang w:val="en-US" w:eastAsia="en-US"/>
            </w:rPr>
            <w:t>France</w:t>
          </w:r>
        </w:smartTag>
      </w:smartTag>
      <w:r w:rsidRPr="00C01AFF">
        <w:rPr>
          <w:rFonts w:eastAsia="Calibri"/>
          <w:sz w:val="22"/>
          <w:szCs w:val="22"/>
          <w:lang w:val="en-US" w:eastAsia="en-US"/>
        </w:rPr>
        <w:t>). – 1995. p. 323-326.</w:t>
      </w:r>
    </w:p>
    <w:p w:rsidR="004531BF" w:rsidRPr="00177844" w:rsidRDefault="004531BF">
      <w:pPr>
        <w:rPr>
          <w:lang w:val="en-US"/>
        </w:rPr>
      </w:pPr>
    </w:p>
    <w:sectPr w:rsidR="004531BF" w:rsidRPr="00177844" w:rsidSect="004531B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08"/>
  <w:characterSpacingControl w:val="doNotCompress"/>
  <w:compat/>
  <w:rsids>
    <w:rsidRoot w:val="00177844"/>
    <w:rsid w:val="00177844"/>
    <w:rsid w:val="004531B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784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cntm@ukr.n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2030</Words>
  <Characters>11573</Characters>
  <Application>Microsoft Office Word</Application>
  <DocSecurity>0</DocSecurity>
  <Lines>96</Lines>
  <Paragraphs>27</Paragraphs>
  <ScaleCrop>false</ScaleCrop>
  <Company>Mi5</Company>
  <LinksUpToDate>false</LinksUpToDate>
  <CharactersWithSpaces>13576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2012-12-03T12:34:00Z</dcterms:created>
  <dcterms:modified xsi:type="dcterms:W3CDTF">2012-12-03T12:34:00Z</dcterms:modified>
</cp:coreProperties>
</file>