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878" w:rsidRPr="00C30108" w:rsidRDefault="000D0878" w:rsidP="000D0878">
      <w:pPr>
        <w:spacing w:line="211" w:lineRule="auto"/>
        <w:ind w:firstLine="709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C30108">
        <w:rPr>
          <w:rFonts w:eastAsia="Calibri"/>
          <w:b/>
          <w:sz w:val="28"/>
          <w:szCs w:val="28"/>
          <w:lang w:val="uk-UA" w:eastAsia="en-US"/>
        </w:rPr>
        <w:t>КЛАСИФІКАЦІЯ НА ОСНОВІ СТАТИСТИКИ ДЕСКРИПТОРІВ КЛЮЧОВИХ ТОЧОК</w:t>
      </w:r>
    </w:p>
    <w:p w:rsidR="000D0878" w:rsidRPr="00C30108" w:rsidRDefault="000D0878" w:rsidP="000D0878">
      <w:pPr>
        <w:jc w:val="center"/>
        <w:rPr>
          <w:rFonts w:eastAsia="Calibri"/>
          <w:sz w:val="28"/>
          <w:szCs w:val="28"/>
          <w:lang w:val="uk-UA" w:eastAsia="en-US"/>
        </w:rPr>
      </w:pPr>
      <w:proofErr w:type="spellStart"/>
      <w:r w:rsidRPr="00C30108">
        <w:rPr>
          <w:rFonts w:eastAsia="Calibri"/>
          <w:sz w:val="28"/>
          <w:szCs w:val="28"/>
          <w:lang w:val="uk-UA" w:eastAsia="en-US"/>
        </w:rPr>
        <w:t>Єрьоменко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В.М.</w:t>
      </w:r>
    </w:p>
    <w:p w:rsidR="000D0878" w:rsidRDefault="000D0878" w:rsidP="000D0878">
      <w:pPr>
        <w:jc w:val="center"/>
        <w:rPr>
          <w:rFonts w:eastAsia="Calibri"/>
          <w:sz w:val="28"/>
          <w:szCs w:val="28"/>
          <w:lang w:val="uk-UA" w:eastAsia="en-US"/>
        </w:rPr>
      </w:pPr>
      <w:r w:rsidRPr="00C30108">
        <w:rPr>
          <w:rFonts w:eastAsia="Calibri"/>
          <w:sz w:val="28"/>
          <w:szCs w:val="28"/>
          <w:lang w:val="uk-UA" w:eastAsia="en-US"/>
        </w:rPr>
        <w:t xml:space="preserve">Науковий керівник – </w:t>
      </w:r>
      <w:r w:rsidRPr="00C30108">
        <w:rPr>
          <w:sz w:val="28"/>
          <w:szCs w:val="28"/>
          <w:lang w:val="uk-UA" w:eastAsia="ru-RU"/>
        </w:rPr>
        <w:t xml:space="preserve">д. т. н., проф.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Гороховатський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В.О.</w:t>
      </w:r>
    </w:p>
    <w:p w:rsidR="000D0878" w:rsidRPr="00C30108" w:rsidRDefault="000D0878" w:rsidP="000D0878">
      <w:pPr>
        <w:jc w:val="center"/>
        <w:rPr>
          <w:rFonts w:eastAsia="Calibri"/>
          <w:sz w:val="28"/>
          <w:szCs w:val="28"/>
          <w:lang w:val="uk-UA" w:eastAsia="en-US"/>
        </w:rPr>
      </w:pPr>
      <w:r w:rsidRPr="00C30108">
        <w:rPr>
          <w:rFonts w:eastAsia="Calibri"/>
          <w:sz w:val="28"/>
          <w:szCs w:val="28"/>
          <w:lang w:val="uk-UA" w:eastAsia="en-US"/>
        </w:rPr>
        <w:t xml:space="preserve"> Харківський національний університет радіоелектроніки</w:t>
      </w:r>
    </w:p>
    <w:p w:rsidR="000D0878" w:rsidRPr="00C30108" w:rsidRDefault="000D0878" w:rsidP="000D0878">
      <w:pPr>
        <w:jc w:val="center"/>
        <w:rPr>
          <w:rFonts w:eastAsia="Calibri"/>
          <w:sz w:val="28"/>
          <w:szCs w:val="28"/>
          <w:lang w:val="uk-UA" w:eastAsia="en-US"/>
        </w:rPr>
      </w:pPr>
      <w:r w:rsidRPr="00C30108">
        <w:rPr>
          <w:rFonts w:eastAsia="Calibri"/>
          <w:sz w:val="28"/>
          <w:szCs w:val="28"/>
          <w:lang w:val="uk-UA" w:eastAsia="en-US"/>
        </w:rPr>
        <w:t>61166,  Харків, просп. Науки,14, каф. Інформатики</w:t>
      </w:r>
    </w:p>
    <w:p w:rsidR="000D0878" w:rsidRPr="00C30108" w:rsidRDefault="000D0878" w:rsidP="000D0878">
      <w:pPr>
        <w:jc w:val="center"/>
        <w:rPr>
          <w:rFonts w:eastAsia="Calibri"/>
          <w:sz w:val="28"/>
          <w:szCs w:val="28"/>
          <w:lang w:val="uk-UA" w:eastAsia="en-US"/>
        </w:rPr>
      </w:pPr>
      <w:r w:rsidRPr="00C30108">
        <w:rPr>
          <w:rFonts w:eastAsia="Calibri"/>
          <w:sz w:val="28"/>
          <w:szCs w:val="28"/>
          <w:lang w:val="uk-UA" w:eastAsia="en-US"/>
        </w:rPr>
        <w:t>e-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mail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: </w:t>
      </w:r>
      <w:hyperlink r:id="rId5" w:history="1">
        <w:r w:rsidRPr="00082F01">
          <w:rPr>
            <w:rStyle w:val="a3"/>
            <w:rFonts w:eastAsia="Calibri"/>
            <w:sz w:val="28"/>
            <w:szCs w:val="28"/>
            <w:lang w:val="uk-UA" w:eastAsia="en-US"/>
          </w:rPr>
          <w:t>viacheslav.yeromenko@nure.ua</w:t>
        </w:r>
      </w:hyperlink>
    </w:p>
    <w:p w:rsidR="000D0878" w:rsidRDefault="000D0878" w:rsidP="000D0878">
      <w:pPr>
        <w:spacing w:line="228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proofErr w:type="spellStart"/>
      <w:r w:rsidRPr="00687018">
        <w:rPr>
          <w:rFonts w:eastAsia="Calibri"/>
          <w:sz w:val="28"/>
          <w:szCs w:val="22"/>
          <w:lang w:val="uk-UA" w:eastAsia="en-US"/>
        </w:rPr>
        <w:t>Application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of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binary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ORB, BRISK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descriptors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of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special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points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of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digital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images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in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the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conditions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of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distortion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is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considered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in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the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work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.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Using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methods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to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analyze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real-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time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images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using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statistical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parameters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for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multiple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descriptors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is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687018">
        <w:rPr>
          <w:rFonts w:eastAsia="Calibri"/>
          <w:sz w:val="28"/>
          <w:szCs w:val="22"/>
          <w:lang w:val="uk-UA" w:eastAsia="en-US"/>
        </w:rPr>
        <w:t>studied</w:t>
      </w:r>
      <w:proofErr w:type="spellEnd"/>
      <w:r w:rsidRPr="00687018">
        <w:rPr>
          <w:rFonts w:eastAsia="Calibri"/>
          <w:sz w:val="28"/>
          <w:szCs w:val="22"/>
          <w:lang w:val="uk-UA" w:eastAsia="en-US"/>
        </w:rPr>
        <w:t>.</w:t>
      </w:r>
    </w:p>
    <w:p w:rsidR="000D0878" w:rsidRPr="00687018" w:rsidRDefault="000D0878" w:rsidP="000D0878">
      <w:pPr>
        <w:spacing w:line="228" w:lineRule="auto"/>
        <w:ind w:firstLine="708"/>
        <w:jc w:val="both"/>
        <w:rPr>
          <w:rFonts w:eastAsia="Calibri"/>
          <w:sz w:val="28"/>
          <w:szCs w:val="22"/>
          <w:lang w:val="en-US" w:eastAsia="en-US"/>
        </w:rPr>
      </w:pPr>
    </w:p>
    <w:p w:rsidR="000D0878" w:rsidRPr="00C30108" w:rsidRDefault="000D0878" w:rsidP="000D0878">
      <w:pPr>
        <w:spacing w:line="228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>Виділення ознак об'єктів в цифрових зображеннях є однією з основних задач комп'ютерного зору і теорії розпізнавання образів [1,2].</w:t>
      </w:r>
    </w:p>
    <w:p w:rsidR="000D0878" w:rsidRPr="00C30108" w:rsidRDefault="000D0878" w:rsidP="000D0878">
      <w:pPr>
        <w:spacing w:line="228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>Одним з видів первинних геометричних ознак об'єктів в зображенні є особливі точки (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feature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points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>), в якості яких виступають добре помітні локальні області: краї, кути, що використовуються в розпізнаванні образів.</w:t>
      </w:r>
    </w:p>
    <w:p w:rsidR="000D0878" w:rsidRPr="00C30108" w:rsidRDefault="000D0878" w:rsidP="000D0878">
      <w:pPr>
        <w:spacing w:line="228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>Робота з особливими точками зображення ґрунтується на наступній схемі: 1) виявлення особливої точки; 2) опис особливої точки через дескриптор; 3) зіставлення особливих точок пари зображень шляхом порівняння їх.</w:t>
      </w:r>
    </w:p>
    <w:p w:rsidR="000D0878" w:rsidRPr="00C30108" w:rsidRDefault="000D0878" w:rsidP="000D0878">
      <w:pPr>
        <w:spacing w:line="228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>Завдання зіставлення особливих точок в основному замикаються на проблему визначення їх унікальних характеристик (дескрипторів або ідентифікаторів). Для забезпечення надійної відповідності важливо, щоб особливі точки, виділені в зображенні, виявлялися навіть при зміні масштабу і обертання зображення, при наявності шуму і зміні освітлення. Тобто дескриптори повинні бути інваріантні до такого роду спотворень.</w:t>
      </w:r>
    </w:p>
    <w:p w:rsidR="000D0878" w:rsidRPr="00C30108" w:rsidRDefault="000D0878" w:rsidP="000D0878">
      <w:pPr>
        <w:spacing w:line="228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 xml:space="preserve">При пошуку особливих точок часто використовуються 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низькорівневі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алгоритми обробки зображень. При цьому алгоритми досить складні: зображення попередньо згладжуються, обчислюються масштабні перетворення, використовуються апроксимації диференціальних операторів. У підсумку методи і алгоритми вимагають великих обчислювальних ресурсів і, як наслідок, мають обмеження за часом виконання, або обробляються тільки частини потрібного зображення.</w:t>
      </w:r>
    </w:p>
    <w:p w:rsidR="000D0878" w:rsidRPr="00C30108" w:rsidRDefault="000D0878" w:rsidP="000D0878">
      <w:pPr>
        <w:spacing w:line="228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 xml:space="preserve">Відомі швидкі алгоритми, що використовують бінарні дескриптори: BRISK, ORB. Ідея бінарних дескрипторів полягає в тому, щоб описати область навколо особливої точки двійковій рядком, отриманої шляхом попарного порівняння яскравості 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пікселів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в заданій області. Результат порівняння буде дорівнює «1», якщо яскравість менше, і «0», якщо яскравість більше або дорівнює. По суті, бінарний дескриптор - це спосіб описати, в якому напрямку убуває яскравість в області особливої точки. Порівняння дескрипторів між собою полягатиме в порівнянні біт в рядках.</w:t>
      </w:r>
    </w:p>
    <w:p w:rsidR="000D0878" w:rsidRPr="00C30108" w:rsidRDefault="000D0878" w:rsidP="000D0878">
      <w:pPr>
        <w:spacing w:line="216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>У методі ORB (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Oriented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FAST 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and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Rotated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BRIEF) для розрахунку орієнтації кута використовується координати центру ваги С, обчислювані через моменти зображення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m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pq</m:t>
            </m:r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>:</w:t>
      </w:r>
    </w:p>
    <w:p w:rsidR="000D0878" w:rsidRPr="00C30108" w:rsidRDefault="000D0878" w:rsidP="000D0878">
      <w:pPr>
        <w:spacing w:line="216" w:lineRule="auto"/>
        <w:ind w:firstLine="708"/>
        <w:jc w:val="center"/>
        <w:rPr>
          <w:rFonts w:eastAsia="Calibri"/>
          <w:sz w:val="28"/>
          <w:szCs w:val="22"/>
          <w:lang w:val="uk-UA" w:eastAsia="en-US"/>
        </w:rPr>
      </w:pP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m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pq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=</m:t>
        </m:r>
        <m:nary>
          <m:naryPr>
            <m:chr m:val="∑"/>
            <m:limLoc m:val="undOvr"/>
            <m:supHide m:val="1"/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naryPr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x</m:t>
            </m:r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,</m:t>
            </m:r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y</m:t>
            </m:r>
          </m:sub>
          <m:sup/>
          <m:e>
            <m:sSup>
              <m:sSupPr>
                <m:ctrlP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p</m:t>
                </m:r>
              </m:sup>
            </m:sSup>
            <m:sSup>
              <m:sSupPr>
                <m:ctrlP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y</m:t>
                </m:r>
              </m:e>
              <m:sup>
                <m: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q</m:t>
                </m:r>
              </m:sup>
            </m:sSup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I</m:t>
            </m:r>
            <m:d>
              <m:dPr>
                <m:ctrlP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,</m:t>
                </m:r>
                <m: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y</m:t>
                </m:r>
              </m:e>
            </m:d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 xml:space="preserve">  </m:t>
            </m:r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C</m:t>
            </m:r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=</m:t>
            </m:r>
            <m:d>
              <m:dPr>
                <m:ctrlP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/>
                        <w:sz w:val="28"/>
                        <w:szCs w:val="22"/>
                        <w:lang w:val="uk-UA"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  <m:t>10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 xml:space="preserve">, </m:t>
                </m:r>
                <m:f>
                  <m:fPr>
                    <m:ctrlPr>
                      <w:rPr>
                        <w:rFonts w:ascii="Cambria Math" w:eastAsia="Calibri" w:hAnsi="Cambria Math"/>
                        <w:sz w:val="28"/>
                        <w:szCs w:val="22"/>
                        <w:lang w:val="uk-UA"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  <m:t>01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/>
                            <w:sz w:val="28"/>
                            <w:szCs w:val="22"/>
                            <w:lang w:val="uk-UA" w:eastAsia="en-US"/>
                          </w:rPr>
                          <m:t>00</m:t>
                        </m:r>
                      </m:sub>
                    </m:sSub>
                  </m:den>
                </m:f>
              </m:e>
            </m:d>
          </m:e>
        </m:nary>
      </m:oMath>
      <w:r w:rsidRPr="00C30108">
        <w:rPr>
          <w:rFonts w:eastAsia="Calibri"/>
          <w:sz w:val="28"/>
          <w:szCs w:val="22"/>
          <w:lang w:val="uk-UA" w:eastAsia="en-US"/>
        </w:rPr>
        <w:t>.</w:t>
      </w:r>
    </w:p>
    <w:p w:rsidR="000D0878" w:rsidRDefault="000D0878" w:rsidP="000D0878">
      <w:pPr>
        <w:spacing w:line="216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>Тоді орієнтація кута буде задаватися вектором, початок якого буде в центральній точці, а кінець - в центрі ваги, а кут дорівнюватиме:</w:t>
      </w:r>
    </w:p>
    <w:p w:rsidR="000D0878" w:rsidRPr="00C30108" w:rsidRDefault="000D0878" w:rsidP="000D0878">
      <w:pPr>
        <w:spacing w:line="216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</w:p>
    <w:p w:rsidR="000D0878" w:rsidRPr="00C30108" w:rsidRDefault="000D0878" w:rsidP="000D0878">
      <w:pPr>
        <w:spacing w:line="216" w:lineRule="auto"/>
        <w:ind w:firstLine="708"/>
        <w:jc w:val="center"/>
        <w:rPr>
          <w:rFonts w:eastAsia="Calibri"/>
          <w:sz w:val="28"/>
          <w:szCs w:val="22"/>
          <w:lang w:val="uk-UA" w:eastAsia="en-US"/>
        </w:rPr>
      </w:pPr>
      <m:oMath>
        <m:r>
          <w:rPr>
            <w:rFonts w:ascii="Cambria Math" w:eastAsia="Calibri" w:hAnsi="Cambria Math"/>
            <w:sz w:val="28"/>
            <w:szCs w:val="22"/>
            <w:lang w:val="uk-UA" w:eastAsia="en-US"/>
          </w:rPr>
          <w:lastRenderedPageBreak/>
          <m:t>θ</m:t>
        </m:r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=</m:t>
        </m:r>
        <m:r>
          <w:rPr>
            <w:rFonts w:ascii="Cambria Math" w:eastAsia="Calibri" w:hAnsi="Cambria Math"/>
            <w:sz w:val="28"/>
            <w:szCs w:val="22"/>
            <w:lang w:val="uk-UA" w:eastAsia="en-US"/>
          </w:rPr>
          <m:t>arctg</m:t>
        </m:r>
        <m:d>
          <m:d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dPr>
          <m:e>
            <m:f>
              <m:fPr>
                <m:ctrlP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Calibri" w:hAnsi="Cambria Math"/>
                        <w:sz w:val="28"/>
                        <w:szCs w:val="22"/>
                        <w:lang w:val="uk-UA"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szCs w:val="22"/>
                        <w:lang w:val="uk-UA" w:eastAsia="en-US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z w:val="28"/>
                        <w:szCs w:val="22"/>
                        <w:lang w:val="uk-UA" w:eastAsia="en-US"/>
                      </w:rPr>
                      <m:t>01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Calibri" w:hAnsi="Cambria Math"/>
                        <w:sz w:val="28"/>
                        <w:szCs w:val="22"/>
                        <w:lang w:val="uk-UA"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szCs w:val="22"/>
                        <w:lang w:val="uk-UA" w:eastAsia="en-US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z w:val="28"/>
                        <w:szCs w:val="22"/>
                        <w:lang w:val="uk-UA" w:eastAsia="en-US"/>
                      </w:rPr>
                      <m:t>10</m:t>
                    </m:r>
                  </m:sub>
                </m:sSub>
              </m:den>
            </m:f>
          </m:e>
        </m:d>
      </m:oMath>
      <w:r w:rsidRPr="00C30108">
        <w:rPr>
          <w:rFonts w:eastAsia="Calibri"/>
          <w:sz w:val="28"/>
          <w:szCs w:val="22"/>
          <w:lang w:val="uk-UA" w:eastAsia="en-US"/>
        </w:rPr>
        <w:t>.</w:t>
      </w:r>
    </w:p>
    <w:p w:rsidR="000D0878" w:rsidRDefault="000D0878" w:rsidP="000D0878">
      <w:pPr>
        <w:spacing w:line="216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 xml:space="preserve">Для множини бінарних тестів розміру n, з координатами </w:t>
      </w:r>
      <m:oMath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(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x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i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,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y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i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)</m:t>
        </m:r>
      </m:oMath>
      <w:r w:rsidRPr="00C30108">
        <w:rPr>
          <w:rFonts w:eastAsia="Calibri"/>
          <w:sz w:val="28"/>
          <w:szCs w:val="22"/>
          <w:lang w:val="uk-UA" w:eastAsia="en-US"/>
        </w:rPr>
        <w:t xml:space="preserve"> будується матриця S ро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змірності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2xn:</w:t>
      </w:r>
    </w:p>
    <w:p w:rsidR="000D0878" w:rsidRPr="00C30108" w:rsidRDefault="000D0878" w:rsidP="000D0878">
      <w:pPr>
        <w:spacing w:line="216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</w:p>
    <w:p w:rsidR="000D0878" w:rsidRPr="00C30108" w:rsidRDefault="000D0878" w:rsidP="000D0878">
      <w:pPr>
        <w:spacing w:line="216" w:lineRule="auto"/>
        <w:ind w:firstLine="708"/>
        <w:jc w:val="center"/>
        <w:rPr>
          <w:rFonts w:eastAsia="Calibri"/>
          <w:sz w:val="28"/>
          <w:szCs w:val="22"/>
          <w:lang w:val="uk-UA" w:eastAsia="en-US"/>
        </w:rPr>
      </w:pPr>
      <m:oMath>
        <m:r>
          <w:rPr>
            <w:rFonts w:ascii="Cambria Math" w:eastAsia="Calibri" w:hAnsi="Cambria Math"/>
            <w:sz w:val="28"/>
            <w:szCs w:val="22"/>
            <w:lang w:val="uk-UA" w:eastAsia="en-US"/>
          </w:rPr>
          <m:t>S</m:t>
        </m:r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=</m:t>
        </m:r>
        <m:d>
          <m:d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…</m:t>
                  </m:r>
                </m:e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n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y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…</m:t>
                  </m:r>
                </m:e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n</m:t>
                      </m:r>
                    </m:sub>
                  </m:sSub>
                </m:e>
              </m:mr>
            </m:m>
          </m:e>
        </m:d>
      </m:oMath>
      <w:r w:rsidRPr="00C30108">
        <w:rPr>
          <w:rFonts w:eastAsia="Calibri"/>
          <w:sz w:val="28"/>
          <w:szCs w:val="22"/>
          <w:lang w:val="uk-UA" w:eastAsia="en-US"/>
        </w:rPr>
        <w:t>.</w:t>
      </w:r>
    </w:p>
    <w:p w:rsidR="000D0878" w:rsidRPr="00C30108" w:rsidRDefault="000D0878" w:rsidP="000D0878">
      <w:pPr>
        <w:spacing w:line="216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 xml:space="preserve">Використовується розрахунковий кут </w:t>
      </w:r>
      <m:oMath>
        <m:r>
          <w:rPr>
            <w:rFonts w:ascii="Cambria Math" w:eastAsia="Calibri" w:hAnsi="Cambria Math"/>
            <w:sz w:val="28"/>
            <w:szCs w:val="22"/>
            <w:lang w:val="uk-UA" w:eastAsia="en-US"/>
          </w:rPr>
          <m:t>θ</m:t>
        </m:r>
      </m:oMath>
      <w:r w:rsidRPr="00C30108">
        <w:rPr>
          <w:rFonts w:eastAsia="Calibri"/>
          <w:sz w:val="28"/>
          <w:szCs w:val="22"/>
          <w:lang w:val="uk-UA" w:eastAsia="en-US"/>
        </w:rPr>
        <w:t xml:space="preserve">, будується матриця обертання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R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θ</m:t>
            </m:r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 xml:space="preserve">, і тоді можна отримати матрицю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S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θ</m:t>
            </m:r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 xml:space="preserve"> c урахуванням повороту рівну 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S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θ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=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R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θ</m:t>
            </m:r>
          </m:sub>
        </m:sSub>
        <m:r>
          <w:rPr>
            <w:rFonts w:ascii="Cambria Math" w:eastAsia="Calibri" w:hAnsi="Cambria Math"/>
            <w:sz w:val="28"/>
            <w:szCs w:val="22"/>
            <w:lang w:val="uk-UA" w:eastAsia="en-US"/>
          </w:rPr>
          <m:t>S</m:t>
        </m:r>
      </m:oMath>
      <w:r w:rsidRPr="00C30108">
        <w:rPr>
          <w:rFonts w:eastAsia="Calibri"/>
          <w:sz w:val="28"/>
          <w:szCs w:val="22"/>
          <w:lang w:val="uk-UA" w:eastAsia="en-US"/>
        </w:rPr>
        <w:t xml:space="preserve">. Далі виконується дискретизація кута з приростом </w:t>
      </w:r>
      <m:oMath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2</m:t>
        </m:r>
        <m:r>
          <w:rPr>
            <w:rFonts w:ascii="Cambria Math" w:eastAsia="Calibri" w:hAnsi="Cambria Math"/>
            <w:sz w:val="28"/>
            <w:szCs w:val="22"/>
            <w:lang w:val="uk-UA" w:eastAsia="en-US"/>
          </w:rPr>
          <m:t>π</m:t>
        </m:r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/30</m:t>
        </m:r>
      </m:oMath>
      <w:r w:rsidRPr="00C30108">
        <w:rPr>
          <w:rFonts w:eastAsia="Calibri"/>
          <w:sz w:val="28"/>
          <w:szCs w:val="22"/>
          <w:lang w:val="uk-UA" w:eastAsia="en-US"/>
        </w:rPr>
        <w:t xml:space="preserve"> , тобто по </w:t>
      </w:r>
      <m:oMath>
        <m:sSup>
          <m:sSup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12</m:t>
            </m:r>
          </m:e>
          <m:sup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о</m:t>
            </m:r>
          </m:sup>
        </m:sSup>
      </m:oMath>
      <w:r w:rsidRPr="00C30108">
        <w:rPr>
          <w:rFonts w:eastAsia="Calibri"/>
          <w:sz w:val="28"/>
          <w:szCs w:val="22"/>
          <w:lang w:val="uk-UA" w:eastAsia="en-US"/>
        </w:rPr>
        <w:t xml:space="preserve">, і виконується пошук і узгодження дескриптора з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S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θ</m:t>
            </m:r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>.</w:t>
      </w:r>
    </w:p>
    <w:p w:rsidR="000D0878" w:rsidRPr="00C30108" w:rsidRDefault="000D0878" w:rsidP="000D0878">
      <w:pPr>
        <w:spacing w:line="216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 xml:space="preserve">Дескриптор має вигляд: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g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n</m:t>
            </m:r>
          </m:sub>
        </m:sSub>
        <m:d>
          <m:d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d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</m:t>
            </m:r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,</m:t>
            </m:r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θ</m:t>
            </m:r>
          </m:e>
        </m:d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=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f</m:t>
            </m:r>
          </m:e>
          <m:sub>
            <m:sSub>
              <m:sSubPr>
                <m:ctrlP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d</m:t>
                </m:r>
              </m:sub>
            </m:sSub>
          </m:sub>
        </m:sSub>
        <m:d>
          <m:d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d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</m:t>
            </m:r>
          </m:e>
        </m:d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|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(</m:t>
            </m:r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x</m:t>
            </m:r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,</m:t>
            </m:r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y</m:t>
            </m:r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)є</m:t>
            </m:r>
            <m:sSub>
              <m:sSubPr>
                <m:ctrlP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S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2"/>
                    <w:lang w:val="uk-UA" w:eastAsia="en-US"/>
                  </w:rPr>
                  <m:t>θ</m:t>
                </m:r>
              </m:sub>
            </m:sSub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>.</w:t>
      </w:r>
    </w:p>
    <w:p w:rsidR="000D0878" w:rsidRPr="00C30108" w:rsidRDefault="000D0878" w:rsidP="000D0878">
      <w:pPr>
        <w:spacing w:line="216" w:lineRule="auto"/>
        <w:ind w:firstLine="708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>У дескрипторі BRISK (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Binary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Robust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Invariant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Scalable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Keypoints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) для обчислення орієнтації ключової точки обчислюється локальний градієнт між парою точок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 xml:space="preserve"> </m:t>
            </m:r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i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,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j</m:t>
            </m:r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 xml:space="preserve"> серед </w:t>
      </w:r>
      <m:oMath>
        <m:r>
          <w:rPr>
            <w:rFonts w:ascii="Cambria Math" w:eastAsia="Calibri" w:hAnsi="Cambria Math"/>
            <w:sz w:val="28"/>
            <w:szCs w:val="22"/>
            <w:lang w:val="uk-UA" w:eastAsia="en-US"/>
          </w:rPr>
          <m:t>N</m:t>
        </m:r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(</m:t>
        </m:r>
        <m:r>
          <w:rPr>
            <w:rFonts w:ascii="Cambria Math" w:eastAsia="Calibri" w:hAnsi="Cambria Math"/>
            <w:sz w:val="28"/>
            <w:szCs w:val="22"/>
            <w:lang w:val="uk-UA" w:eastAsia="en-US"/>
          </w:rPr>
          <m:t>N</m:t>
        </m:r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-1)/2</m:t>
        </m:r>
      </m:oMath>
      <w:r w:rsidRPr="00C30108">
        <w:rPr>
          <w:rFonts w:eastAsia="Calibri"/>
          <w:sz w:val="28"/>
          <w:szCs w:val="22"/>
          <w:lang w:val="uk-UA" w:eastAsia="en-US"/>
        </w:rPr>
        <w:t xml:space="preserve"> точок області </w:t>
      </w:r>
      <m:oMath>
        <m:r>
          <w:rPr>
            <w:rFonts w:ascii="Cambria Math" w:eastAsia="Calibri" w:hAnsi="Cambria Math"/>
            <w:sz w:val="28"/>
            <w:szCs w:val="22"/>
            <w:lang w:val="uk-UA" w:eastAsia="en-US"/>
          </w:rPr>
          <m:t>p</m:t>
        </m:r>
      </m:oMath>
      <w:r w:rsidRPr="00C30108">
        <w:rPr>
          <w:rFonts w:eastAsia="Calibri"/>
          <w:sz w:val="28"/>
          <w:szCs w:val="22"/>
          <w:lang w:val="uk-UA" w:eastAsia="en-US"/>
        </w:rPr>
        <w:t>.</w:t>
      </w:r>
    </w:p>
    <w:p w:rsidR="000D0878" w:rsidRPr="000D0878" w:rsidRDefault="000D0878" w:rsidP="000D0878">
      <w:pPr>
        <w:spacing w:line="216" w:lineRule="auto"/>
        <w:ind w:firstLine="708"/>
        <w:jc w:val="center"/>
        <w:rPr>
          <w:rFonts w:eastAsia="Calibri"/>
        </w:rPr>
      </w:pPr>
      <m:oMathPara>
        <m:oMath>
          <m:r>
            <w:rPr>
              <w:rFonts w:ascii="Cambria Math" w:eastAsia="Calibri" w:hAnsi="Cambria Math"/>
              <w:sz w:val="28"/>
              <w:szCs w:val="22"/>
              <w:lang w:val="uk-UA" w:eastAsia="en-US"/>
            </w:rPr>
            <m:t>g</m:t>
          </m:r>
          <m:d>
            <m:dPr>
              <m:ctrl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,</m:t>
              </m:r>
              <m:sSub>
                <m:sSubPr>
                  <m:ctrl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j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="Calibri" w:hAnsi="Cambria Math"/>
              <w:sz w:val="28"/>
              <w:szCs w:val="22"/>
              <w:lang w:val="uk-UA" w:eastAsia="en-US"/>
            </w:rPr>
            <m:t>=(</m:t>
          </m:r>
          <m:sSub>
            <m:sSubPr>
              <m:ctrl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p</m:t>
              </m:r>
            </m:e>
            <m:sub>
              <m: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Calibri" w:hAnsi="Cambria Math"/>
              <w:sz w:val="28"/>
              <w:szCs w:val="22"/>
              <w:lang w:val="uk-UA" w:eastAsia="en-US"/>
            </w:rPr>
            <m:t>-</m:t>
          </m:r>
          <m:sSub>
            <m:sSubPr>
              <m:ctrl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p</m:t>
              </m:r>
            </m:e>
            <m:sub>
              <m: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j</m:t>
              </m:r>
            </m:sub>
          </m:sSub>
          <m:r>
            <m:rPr>
              <m:sty m:val="p"/>
            </m:rPr>
            <w:rPr>
              <w:rFonts w:ascii="Cambria Math" w:eastAsia="Calibri" w:hAnsi="Cambria Math"/>
              <w:sz w:val="28"/>
              <w:szCs w:val="22"/>
              <w:lang w:val="uk-UA" w:eastAsia="en-US"/>
            </w:rPr>
            <m:t>)</m:t>
          </m:r>
          <m:f>
            <m:fPr>
              <m:ctrl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I</m:t>
              </m:r>
              <m:d>
                <m:dPr>
                  <m:ctrl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j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8"/>
                          <w:szCs w:val="22"/>
                          <w:lang w:val="uk-UA" w:eastAsia="en-US"/>
                        </w:rPr>
                        <m:t>j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-</m:t>
              </m:r>
              <m: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I</m:t>
              </m:r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(</m:t>
              </m:r>
              <m:sSub>
                <m:sSubPr>
                  <m:ctrl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,</m:t>
              </m:r>
              <m:sSub>
                <m:sSubPr>
                  <m:ctrl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σ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)</m:t>
              </m:r>
            </m:num>
            <m:den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||</m:t>
              </m:r>
              <m:sSub>
                <m:sSubPr>
                  <m:ctrl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j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  <w:szCs w:val="22"/>
                  <w:lang w:val="uk-UA" w:eastAsia="en-US"/>
                </w:rPr>
                <m:t>|</m:t>
              </m:r>
              <m:sSup>
                <m:sSupPr>
                  <m:ctrl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|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8"/>
                      <w:szCs w:val="22"/>
                      <w:lang w:val="uk-UA" w:eastAsia="en-US"/>
                    </w:rPr>
                    <m:t>2</m:t>
                  </m:r>
                </m:sup>
              </m:sSup>
            </m:den>
          </m:f>
        </m:oMath>
      </m:oMathPara>
    </w:p>
    <w:p w:rsidR="000D0878" w:rsidRPr="00C30108" w:rsidRDefault="000D0878" w:rsidP="000D0878">
      <w:pPr>
        <w:spacing w:line="216" w:lineRule="auto"/>
        <w:ind w:firstLine="708"/>
        <w:jc w:val="center"/>
        <w:rPr>
          <w:rFonts w:eastAsia="Calibri"/>
          <w:sz w:val="28"/>
          <w:szCs w:val="22"/>
          <w:lang w:val="uk-UA" w:eastAsia="en-US"/>
        </w:rPr>
      </w:pPr>
    </w:p>
    <w:p w:rsidR="000D0878" w:rsidRPr="00C30108" w:rsidRDefault="000D0878" w:rsidP="000D0878">
      <w:pPr>
        <w:spacing w:line="216" w:lineRule="auto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 xml:space="preserve">де </w:t>
      </w:r>
      <m:oMath>
        <m:r>
          <w:rPr>
            <w:rFonts w:ascii="Cambria Math" w:eastAsia="Calibri" w:hAnsi="Cambria Math"/>
            <w:sz w:val="28"/>
            <w:szCs w:val="22"/>
            <w:lang w:val="uk-UA" w:eastAsia="en-US"/>
          </w:rPr>
          <m:t>I</m:t>
        </m:r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(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i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,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σ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i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)</m:t>
        </m:r>
      </m:oMath>
      <w:r w:rsidRPr="00C30108">
        <w:rPr>
          <w:rFonts w:eastAsia="Calibri"/>
          <w:sz w:val="28"/>
          <w:szCs w:val="22"/>
          <w:lang w:val="uk-UA" w:eastAsia="en-US"/>
        </w:rPr>
        <w:t xml:space="preserve"> – згладжені (по Гаусу) інтенсивності точок із стандартним відхиленням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σ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i</m:t>
            </m:r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>. На всій безлічі пар точок А визначаються «кот</w:t>
      </w:r>
      <w:proofErr w:type="spellStart"/>
      <w:r w:rsidRPr="00C30108">
        <w:rPr>
          <w:rFonts w:eastAsia="Calibri"/>
          <w:sz w:val="28"/>
          <w:szCs w:val="22"/>
          <w:lang w:val="uk-UA" w:eastAsia="en-US"/>
        </w:rPr>
        <w:t>оркіе</w:t>
      </w:r>
      <w:proofErr w:type="spellEnd"/>
      <w:r w:rsidRPr="00C30108">
        <w:rPr>
          <w:rFonts w:eastAsia="Calibri"/>
          <w:sz w:val="28"/>
          <w:szCs w:val="22"/>
          <w:lang w:val="uk-UA" w:eastAsia="en-US"/>
        </w:rPr>
        <w:t xml:space="preserve"> пари» - S і «довгі пари» - L. У довгих –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||</m:t>
            </m:r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i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-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j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||&lt;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δ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max</m:t>
            </m:r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 xml:space="preserve">, а у коротких –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||</m:t>
            </m:r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i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-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p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j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8"/>
            <w:szCs w:val="22"/>
            <w:lang w:val="uk-UA" w:eastAsia="en-US"/>
          </w:rPr>
          <m:t>||&gt;</m:t>
        </m:r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δ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min</m:t>
            </m:r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 xml:space="preserve">, де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δ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max</m:t>
            </m:r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 xml:space="preserve">, </w:t>
      </w:r>
      <m:oMath>
        <m:sSub>
          <m:sSubPr>
            <m:ctrlP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δ</m:t>
            </m:r>
          </m:e>
          <m:sub>
            <m:r>
              <w:rPr>
                <w:rFonts w:ascii="Cambria Math" w:eastAsia="Calibri" w:hAnsi="Cambria Math"/>
                <w:sz w:val="28"/>
                <w:szCs w:val="22"/>
                <w:lang w:val="uk-UA" w:eastAsia="en-US"/>
              </w:rPr>
              <m:t>min</m:t>
            </m:r>
          </m:sub>
        </m:sSub>
      </m:oMath>
      <w:r w:rsidRPr="00C30108">
        <w:rPr>
          <w:rFonts w:eastAsia="Calibri"/>
          <w:sz w:val="28"/>
          <w:szCs w:val="22"/>
          <w:lang w:val="uk-UA" w:eastAsia="en-US"/>
        </w:rPr>
        <w:t xml:space="preserve"> – порогові значення. Довгі пари L використовуються для розрахунку напрямки особливої точки. </w:t>
      </w:r>
    </w:p>
    <w:p w:rsidR="000D0878" w:rsidRPr="00C30108" w:rsidRDefault="000D0878" w:rsidP="000D0878">
      <w:pPr>
        <w:spacing w:line="216" w:lineRule="auto"/>
        <w:jc w:val="both"/>
        <w:rPr>
          <w:rFonts w:eastAsia="Calibri"/>
          <w:sz w:val="28"/>
          <w:szCs w:val="22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ab/>
        <w:t>Для класифікації можна використовувати безпосередньо параметри розподілів для множини дескрипторів, що створюють опис [2].</w:t>
      </w:r>
    </w:p>
    <w:p w:rsidR="000D0878" w:rsidRPr="00C30108" w:rsidRDefault="000D0878" w:rsidP="000D0878">
      <w:pPr>
        <w:spacing w:line="216" w:lineRule="auto"/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 w:rsidRPr="00C30108">
        <w:rPr>
          <w:rFonts w:eastAsia="Calibri"/>
          <w:sz w:val="28"/>
          <w:szCs w:val="22"/>
          <w:lang w:val="uk-UA" w:eastAsia="en-US"/>
        </w:rPr>
        <w:t xml:space="preserve">Спотворення, викликані поворотом зображення, зміною масштабу і точки огляду, викликають найбільше зниження показників стійкості дескрипторів. Очевидно, що бінарні дескриптори виграють за швидкодією в порівнянні з </w:t>
      </w:r>
      <w:r w:rsidRPr="00C30108">
        <w:rPr>
          <w:rFonts w:eastAsia="Calibri"/>
          <w:sz w:val="28"/>
          <w:szCs w:val="28"/>
          <w:lang w:val="uk-UA" w:eastAsia="en-US"/>
        </w:rPr>
        <w:t>класичними дескрипторами, але їх точність нижче.</w:t>
      </w:r>
    </w:p>
    <w:p w:rsidR="000D0878" w:rsidRDefault="000D0878" w:rsidP="000D0878">
      <w:pPr>
        <w:spacing w:after="20" w:line="216" w:lineRule="auto"/>
        <w:ind w:firstLine="708"/>
        <w:jc w:val="both"/>
        <w:rPr>
          <w:b/>
          <w:sz w:val="28"/>
          <w:szCs w:val="28"/>
          <w:lang w:val="uk-UA" w:eastAsia="en-US"/>
        </w:rPr>
      </w:pPr>
    </w:p>
    <w:p w:rsidR="000D0878" w:rsidRPr="00687018" w:rsidRDefault="000D0878" w:rsidP="000D0878">
      <w:pPr>
        <w:spacing w:after="20"/>
        <w:ind w:firstLine="708"/>
        <w:jc w:val="both"/>
        <w:rPr>
          <w:b/>
          <w:sz w:val="28"/>
          <w:szCs w:val="28"/>
          <w:lang w:val="uk-UA" w:eastAsia="en-US"/>
        </w:rPr>
      </w:pPr>
      <w:r w:rsidRPr="00687018">
        <w:rPr>
          <w:b/>
          <w:sz w:val="28"/>
          <w:szCs w:val="28"/>
          <w:lang w:val="uk-UA" w:eastAsia="en-US"/>
        </w:rPr>
        <w:t>Список використаних джерел:</w:t>
      </w:r>
    </w:p>
    <w:p w:rsidR="000D0878" w:rsidRPr="00C30108" w:rsidRDefault="000D0878" w:rsidP="000D0878">
      <w:pPr>
        <w:spacing w:after="20"/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 w:rsidRPr="00C30108">
        <w:rPr>
          <w:rFonts w:eastAsia="Calibri"/>
          <w:sz w:val="28"/>
          <w:szCs w:val="28"/>
          <w:lang w:val="uk-UA" w:eastAsia="en-US"/>
        </w:rPr>
        <w:t>1.</w:t>
      </w:r>
      <w:r w:rsidRPr="00C30108">
        <w:rPr>
          <w:rFonts w:eastAsia="Calibri"/>
          <w:i/>
          <w:iCs/>
          <w:sz w:val="28"/>
          <w:szCs w:val="28"/>
          <w:lang w:val="uk-UA" w:eastAsia="en-US"/>
        </w:rPr>
        <w:t xml:space="preserve"> </w:t>
      </w:r>
      <w:proofErr w:type="spellStart"/>
      <w:r w:rsidRPr="00687018">
        <w:rPr>
          <w:rFonts w:eastAsia="Calibri"/>
          <w:iCs/>
          <w:sz w:val="28"/>
          <w:szCs w:val="28"/>
          <w:lang w:val="uk-UA" w:eastAsia="en-US"/>
        </w:rPr>
        <w:t>Rosten</w:t>
      </w:r>
      <w:proofErr w:type="spellEnd"/>
      <w:r w:rsidRPr="00C30108">
        <w:rPr>
          <w:rFonts w:eastAsia="Calibri"/>
          <w:i/>
          <w:iCs/>
          <w:sz w:val="28"/>
          <w:szCs w:val="28"/>
          <w:lang w:val="uk-UA" w:eastAsia="en-US"/>
        </w:rPr>
        <w:t>, E.</w:t>
      </w:r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Machine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learning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for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high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speed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corner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detection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/ </w:t>
      </w:r>
      <w:r w:rsidRPr="00C30108">
        <w:rPr>
          <w:rFonts w:eastAsia="Calibri"/>
          <w:i/>
          <w:iCs/>
          <w:sz w:val="28"/>
          <w:szCs w:val="28"/>
          <w:lang w:val="uk-UA" w:eastAsia="en-US"/>
        </w:rPr>
        <w:t xml:space="preserve">E. </w:t>
      </w:r>
      <w:proofErr w:type="spellStart"/>
      <w:r w:rsidRPr="00C30108">
        <w:rPr>
          <w:rFonts w:eastAsia="Calibri"/>
          <w:i/>
          <w:iCs/>
          <w:sz w:val="28"/>
          <w:szCs w:val="28"/>
          <w:lang w:val="uk-UA" w:eastAsia="en-US"/>
        </w:rPr>
        <w:t>Rosten</w:t>
      </w:r>
      <w:proofErr w:type="spellEnd"/>
      <w:r w:rsidRPr="00C30108">
        <w:rPr>
          <w:rFonts w:eastAsia="Calibri"/>
          <w:i/>
          <w:iCs/>
          <w:sz w:val="28"/>
          <w:szCs w:val="28"/>
          <w:lang w:val="uk-UA" w:eastAsia="en-US"/>
        </w:rPr>
        <w:t xml:space="preserve">, T. </w:t>
      </w:r>
      <w:proofErr w:type="spellStart"/>
      <w:r w:rsidRPr="00C30108">
        <w:rPr>
          <w:rFonts w:eastAsia="Calibri"/>
          <w:i/>
          <w:iCs/>
          <w:sz w:val="28"/>
          <w:szCs w:val="28"/>
          <w:lang w:val="uk-UA" w:eastAsia="en-US"/>
        </w:rPr>
        <w:t>Drummond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// 9th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European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Conference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on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Computer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Vision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. – 2006. –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Vol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>. 1. – P. 430-443.</w:t>
      </w:r>
    </w:p>
    <w:p w:rsidR="000D0878" w:rsidRPr="00C30108" w:rsidRDefault="000D0878" w:rsidP="000D0878">
      <w:pPr>
        <w:spacing w:after="20"/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 w:rsidRPr="00C30108">
        <w:rPr>
          <w:rFonts w:eastAsia="Calibri"/>
          <w:sz w:val="28"/>
          <w:szCs w:val="28"/>
          <w:lang w:val="uk-UA" w:eastAsia="en-US"/>
        </w:rPr>
        <w:t xml:space="preserve">2. </w:t>
      </w:r>
      <w:proofErr w:type="spellStart"/>
      <w:r w:rsidRPr="00687018">
        <w:rPr>
          <w:rFonts w:eastAsia="Calibri"/>
          <w:iCs/>
          <w:sz w:val="28"/>
          <w:szCs w:val="28"/>
          <w:lang w:val="uk-UA" w:eastAsia="en-US"/>
        </w:rPr>
        <w:t>Gadetska</w:t>
      </w:r>
      <w:proofErr w:type="spellEnd"/>
      <w:r w:rsidRPr="00687018">
        <w:rPr>
          <w:rFonts w:eastAsia="Calibri"/>
          <w:iCs/>
          <w:sz w:val="28"/>
          <w:szCs w:val="28"/>
          <w:lang w:val="uk-UA" w:eastAsia="en-US"/>
        </w:rPr>
        <w:t xml:space="preserve"> S.V.</w:t>
      </w:r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Statistical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Measures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for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Computation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of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the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Image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Relevance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of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Visual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Objects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in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the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Structural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Image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Classification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Methods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/ </w:t>
      </w:r>
      <w:r w:rsidRPr="00C30108">
        <w:rPr>
          <w:rFonts w:eastAsia="Calibri"/>
          <w:i/>
          <w:iCs/>
          <w:sz w:val="28"/>
          <w:szCs w:val="28"/>
          <w:lang w:val="uk-UA" w:eastAsia="en-US"/>
        </w:rPr>
        <w:t xml:space="preserve">S.V. </w:t>
      </w:r>
      <w:proofErr w:type="spellStart"/>
      <w:r w:rsidRPr="00C30108">
        <w:rPr>
          <w:rFonts w:eastAsia="Calibri"/>
          <w:i/>
          <w:iCs/>
          <w:sz w:val="28"/>
          <w:szCs w:val="28"/>
          <w:lang w:val="uk-UA" w:eastAsia="en-US"/>
        </w:rPr>
        <w:t> Gadetsk</w:t>
      </w:r>
      <w:proofErr w:type="spellEnd"/>
      <w:r w:rsidRPr="00C30108">
        <w:rPr>
          <w:rFonts w:eastAsia="Calibri"/>
          <w:i/>
          <w:iCs/>
          <w:sz w:val="28"/>
          <w:szCs w:val="28"/>
          <w:lang w:val="uk-UA" w:eastAsia="en-US"/>
        </w:rPr>
        <w:t xml:space="preserve">a, V.O. </w:t>
      </w:r>
      <w:proofErr w:type="spellStart"/>
      <w:r w:rsidRPr="00C30108">
        <w:rPr>
          <w:rFonts w:eastAsia="Calibri"/>
          <w:i/>
          <w:iCs/>
          <w:sz w:val="28"/>
          <w:szCs w:val="28"/>
          <w:lang w:val="uk-UA" w:eastAsia="en-US"/>
        </w:rPr>
        <w:t>Gorokhovatsky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//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Telecommunications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and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Radio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Engineering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. – 2018,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Vol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 xml:space="preserve">. 77 (12), </w:t>
      </w:r>
      <w:proofErr w:type="spellStart"/>
      <w:r w:rsidRPr="00C30108">
        <w:rPr>
          <w:rFonts w:eastAsia="Calibri"/>
          <w:sz w:val="28"/>
          <w:szCs w:val="28"/>
          <w:lang w:val="uk-UA" w:eastAsia="en-US"/>
        </w:rPr>
        <w:t>pp</w:t>
      </w:r>
      <w:proofErr w:type="spellEnd"/>
      <w:r w:rsidRPr="00C30108">
        <w:rPr>
          <w:rFonts w:eastAsia="Calibri"/>
          <w:sz w:val="28"/>
          <w:szCs w:val="28"/>
          <w:lang w:val="uk-UA" w:eastAsia="en-US"/>
        </w:rPr>
        <w:t>. 1041–1053.</w:t>
      </w:r>
    </w:p>
    <w:p w:rsidR="000D0878" w:rsidRDefault="000D0878" w:rsidP="000D0878">
      <w:pPr>
        <w:spacing w:line="228" w:lineRule="auto"/>
        <w:ind w:firstLine="567"/>
        <w:jc w:val="center"/>
        <w:rPr>
          <w:b/>
          <w:bCs/>
          <w:sz w:val="28"/>
          <w:szCs w:val="28"/>
          <w:lang w:val="uk-UA" w:eastAsia="ru-RU"/>
        </w:rPr>
      </w:pPr>
    </w:p>
    <w:p w:rsidR="005717F7" w:rsidRPr="000D0878" w:rsidRDefault="005717F7" w:rsidP="000D0878">
      <w:pPr>
        <w:rPr>
          <w:lang w:val="en-US"/>
        </w:rPr>
      </w:pPr>
      <w:bookmarkStart w:id="0" w:name="_GoBack"/>
      <w:bookmarkEnd w:id="0"/>
    </w:p>
    <w:sectPr w:rsidR="005717F7" w:rsidRPr="000D08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878"/>
    <w:rsid w:val="000D0878"/>
    <w:rsid w:val="0045377A"/>
    <w:rsid w:val="005717F7"/>
    <w:rsid w:val="00BD60F8"/>
    <w:rsid w:val="00FC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rial"/>
        <w:color w:val="222222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78"/>
    <w:pPr>
      <w:spacing w:after="0" w:line="240" w:lineRule="auto"/>
    </w:pPr>
    <w:rPr>
      <w:rFonts w:eastAsia="Times New Roman" w:cs="Times New Roman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D087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08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878"/>
    <w:rPr>
      <w:rFonts w:ascii="Tahoma" w:eastAsia="Times New Roman" w:hAnsi="Tahoma" w:cs="Tahoma"/>
      <w:color w:val="auto"/>
      <w:sz w:val="16"/>
      <w:szCs w:val="16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rial"/>
        <w:color w:val="222222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78"/>
    <w:pPr>
      <w:spacing w:after="0" w:line="240" w:lineRule="auto"/>
    </w:pPr>
    <w:rPr>
      <w:rFonts w:eastAsia="Times New Roman" w:cs="Times New Roman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D087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08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878"/>
    <w:rPr>
      <w:rFonts w:ascii="Tahoma" w:eastAsia="Times New Roman" w:hAnsi="Tahoma" w:cs="Tahoma"/>
      <w:color w:val="auto"/>
      <w:sz w:val="16"/>
      <w:szCs w:val="16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Downloads/viacheslav.yeromenko@nure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3204</Words>
  <Characters>1827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2020-09-07T12:25:00Z</dcterms:created>
  <dcterms:modified xsi:type="dcterms:W3CDTF">2020-09-07T12:25:00Z</dcterms:modified>
</cp:coreProperties>
</file>