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CDF" w:rsidRPr="00D06674" w:rsidRDefault="00F14CDF" w:rsidP="00F14CDF">
      <w:pPr>
        <w:jc w:val="center"/>
        <w:rPr>
          <w:rFonts w:eastAsia="Calibri"/>
          <w:b/>
          <w:sz w:val="22"/>
          <w:szCs w:val="22"/>
          <w:lang w:eastAsia="en-US"/>
        </w:rPr>
      </w:pPr>
      <w:r w:rsidRPr="00D06674">
        <w:rPr>
          <w:rFonts w:eastAsia="Calibri"/>
          <w:b/>
          <w:sz w:val="22"/>
          <w:szCs w:val="22"/>
          <w:lang w:val="uk-UA" w:eastAsia="en-US"/>
        </w:rPr>
        <w:t xml:space="preserve">РАЗРАБОТКА </w:t>
      </w:r>
      <w:r w:rsidRPr="00D06674">
        <w:rPr>
          <w:rFonts w:eastAsia="Calibri"/>
          <w:b/>
          <w:sz w:val="22"/>
          <w:szCs w:val="22"/>
          <w:lang w:eastAsia="en-US"/>
        </w:rPr>
        <w:t>СВЧ-ОТРАЖАТЕЛЯ ДЛЯ БЕЗЭЛЕКТРОДНОЙ СЕРНОЙ ЛАМПЫ ЦИЛИНДРИЧЕСКОЙ ФОРМЫ</w:t>
      </w:r>
    </w:p>
    <w:p w:rsidR="00F14CDF" w:rsidRPr="00D06674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  <w:proofErr w:type="spellStart"/>
      <w:r w:rsidRPr="00D06674">
        <w:rPr>
          <w:rFonts w:eastAsia="Calibri"/>
          <w:sz w:val="22"/>
          <w:szCs w:val="22"/>
          <w:lang w:eastAsia="en-US"/>
        </w:rPr>
        <w:t>Чурюмов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Г.И., Фролова Т.И., Терещенко В.В.</w:t>
      </w:r>
    </w:p>
    <w:p w:rsidR="00F14CDF" w:rsidRPr="00D06674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>Харьковский национальный университет радиоэлектроники</w:t>
      </w:r>
    </w:p>
    <w:p w:rsidR="00F14CDF" w:rsidRPr="00D06674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>6116, Харьков, пр. Ленина, каф. ФОЭТ, тел. (057) 702-14-84,</w:t>
      </w:r>
    </w:p>
    <w:p w:rsidR="00F14CDF" w:rsidRPr="00F14CDF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val="en-US" w:eastAsia="en-US"/>
        </w:rPr>
        <w:t>E</w:t>
      </w:r>
      <w:r w:rsidRPr="00F14CDF">
        <w:rPr>
          <w:rFonts w:eastAsia="Calibri"/>
          <w:sz w:val="22"/>
          <w:szCs w:val="22"/>
          <w:lang w:eastAsia="en-US"/>
        </w:rPr>
        <w:t>-</w:t>
      </w:r>
      <w:r w:rsidRPr="00D06674">
        <w:rPr>
          <w:rFonts w:eastAsia="Calibri"/>
          <w:sz w:val="22"/>
          <w:szCs w:val="22"/>
          <w:lang w:val="en-US" w:eastAsia="en-US"/>
        </w:rPr>
        <w:t>mail</w:t>
      </w:r>
      <w:r w:rsidRPr="00F14CDF">
        <w:rPr>
          <w:rFonts w:eastAsia="Calibri"/>
          <w:sz w:val="22"/>
          <w:szCs w:val="22"/>
          <w:lang w:eastAsia="en-US"/>
        </w:rPr>
        <w:t xml:space="preserve">: </w:t>
      </w:r>
      <w:r w:rsidRPr="00D06674">
        <w:rPr>
          <w:rFonts w:eastAsia="Calibri"/>
          <w:sz w:val="22"/>
          <w:szCs w:val="22"/>
          <w:lang w:eastAsia="en-US"/>
        </w:rPr>
        <w:fldChar w:fldCharType="begin"/>
      </w:r>
      <w:r w:rsidRPr="00F14CDF">
        <w:rPr>
          <w:rFonts w:eastAsia="Calibri"/>
          <w:sz w:val="22"/>
          <w:szCs w:val="22"/>
          <w:lang w:eastAsia="en-US"/>
        </w:rPr>
        <w:instrText xml:space="preserve"> </w:instrText>
      </w:r>
      <w:r w:rsidRPr="00D279E6">
        <w:rPr>
          <w:rFonts w:eastAsia="Calibri"/>
          <w:sz w:val="22"/>
          <w:szCs w:val="22"/>
          <w:lang w:val="en-US" w:eastAsia="en-US"/>
        </w:rPr>
        <w:instrText>HYPERLINK</w:instrText>
      </w:r>
      <w:r w:rsidRPr="00F14CDF">
        <w:rPr>
          <w:rFonts w:eastAsia="Calibri"/>
          <w:sz w:val="22"/>
          <w:szCs w:val="22"/>
          <w:lang w:eastAsia="en-US"/>
        </w:rPr>
        <w:instrText xml:space="preserve"> "</w:instrText>
      </w:r>
      <w:r w:rsidRPr="00D279E6">
        <w:rPr>
          <w:rFonts w:eastAsia="Calibri"/>
          <w:sz w:val="22"/>
          <w:szCs w:val="22"/>
          <w:lang w:val="en-US" w:eastAsia="en-US"/>
        </w:rPr>
        <w:instrText>mailto</w:instrText>
      </w:r>
      <w:r w:rsidRPr="00F14CDF">
        <w:rPr>
          <w:rFonts w:eastAsia="Calibri"/>
          <w:sz w:val="22"/>
          <w:szCs w:val="22"/>
          <w:lang w:eastAsia="en-US"/>
        </w:rPr>
        <w:instrText>:</w:instrText>
      </w:r>
      <w:r w:rsidRPr="00D279E6">
        <w:rPr>
          <w:rFonts w:eastAsia="Calibri"/>
          <w:sz w:val="22"/>
          <w:szCs w:val="22"/>
          <w:lang w:val="en-US" w:eastAsia="en-US"/>
        </w:rPr>
        <w:instrText>tereshenko</w:instrText>
      </w:r>
      <w:r w:rsidRPr="00F14CDF">
        <w:rPr>
          <w:rFonts w:eastAsia="Calibri"/>
          <w:sz w:val="22"/>
          <w:szCs w:val="22"/>
          <w:lang w:eastAsia="en-US"/>
        </w:rPr>
        <w:instrText>.</w:instrText>
      </w:r>
      <w:r w:rsidRPr="00D279E6">
        <w:rPr>
          <w:rFonts w:eastAsia="Calibri"/>
          <w:sz w:val="22"/>
          <w:szCs w:val="22"/>
          <w:lang w:val="en-US" w:eastAsia="en-US"/>
        </w:rPr>
        <w:instrText>valery</w:instrText>
      </w:r>
      <w:r w:rsidRPr="00F14CDF">
        <w:rPr>
          <w:rFonts w:eastAsia="Calibri"/>
          <w:sz w:val="22"/>
          <w:szCs w:val="22"/>
          <w:lang w:eastAsia="en-US"/>
        </w:rPr>
        <w:instrText>@</w:instrText>
      </w:r>
      <w:r w:rsidRPr="00D279E6">
        <w:rPr>
          <w:rFonts w:eastAsia="Calibri"/>
          <w:sz w:val="22"/>
          <w:szCs w:val="22"/>
          <w:lang w:val="en-US" w:eastAsia="en-US"/>
        </w:rPr>
        <w:instrText>yandex</w:instrText>
      </w:r>
      <w:r w:rsidRPr="00F14CDF">
        <w:rPr>
          <w:rFonts w:eastAsia="Calibri"/>
          <w:sz w:val="22"/>
          <w:szCs w:val="22"/>
          <w:lang w:eastAsia="en-US"/>
        </w:rPr>
        <w:instrText>.</w:instrText>
      </w:r>
      <w:r w:rsidRPr="00D279E6">
        <w:rPr>
          <w:rFonts w:eastAsia="Calibri"/>
          <w:sz w:val="22"/>
          <w:szCs w:val="22"/>
          <w:lang w:val="en-US" w:eastAsia="en-US"/>
        </w:rPr>
        <w:instrText>ua</w:instrText>
      </w:r>
      <w:r w:rsidRPr="00F14CDF">
        <w:rPr>
          <w:rFonts w:eastAsia="Calibri"/>
          <w:sz w:val="22"/>
          <w:szCs w:val="22"/>
          <w:lang w:eastAsia="en-US"/>
        </w:rPr>
        <w:instrText xml:space="preserve">" </w:instrText>
      </w:r>
      <w:r w:rsidRPr="00D06674">
        <w:rPr>
          <w:rFonts w:eastAsia="Calibri"/>
          <w:sz w:val="22"/>
          <w:szCs w:val="22"/>
          <w:lang w:eastAsia="en-US"/>
        </w:rPr>
        <w:fldChar w:fldCharType="separate"/>
      </w:r>
      <w:r w:rsidRPr="00D06674">
        <w:rPr>
          <w:rFonts w:eastAsia="Calibri"/>
          <w:sz w:val="22"/>
          <w:szCs w:val="22"/>
          <w:lang w:val="en-US" w:eastAsia="en-US"/>
        </w:rPr>
        <w:t>tereshenko</w:t>
      </w:r>
      <w:r w:rsidRPr="00F14CDF">
        <w:rPr>
          <w:rFonts w:eastAsia="Calibri"/>
          <w:sz w:val="22"/>
          <w:szCs w:val="22"/>
          <w:lang w:eastAsia="en-US"/>
        </w:rPr>
        <w:t>.</w:t>
      </w:r>
      <w:r w:rsidRPr="00D06674">
        <w:rPr>
          <w:rFonts w:eastAsia="Calibri"/>
          <w:sz w:val="22"/>
          <w:szCs w:val="22"/>
          <w:lang w:val="en-US" w:eastAsia="en-US"/>
        </w:rPr>
        <w:t>valery</w:t>
      </w:r>
      <w:r w:rsidRPr="00F14CDF">
        <w:rPr>
          <w:rFonts w:eastAsia="Calibri"/>
          <w:sz w:val="22"/>
          <w:szCs w:val="22"/>
          <w:lang w:eastAsia="en-US"/>
        </w:rPr>
        <w:t>@</w:t>
      </w:r>
      <w:r w:rsidRPr="00D06674">
        <w:rPr>
          <w:rFonts w:eastAsia="Calibri"/>
          <w:sz w:val="22"/>
          <w:szCs w:val="22"/>
          <w:lang w:val="en-US" w:eastAsia="en-US"/>
        </w:rPr>
        <w:t>yandex</w:t>
      </w:r>
      <w:r w:rsidRPr="00F14CDF">
        <w:rPr>
          <w:rFonts w:eastAsia="Calibri"/>
          <w:sz w:val="22"/>
          <w:szCs w:val="22"/>
          <w:lang w:eastAsia="en-US"/>
        </w:rPr>
        <w:t>.</w:t>
      </w:r>
      <w:r w:rsidRPr="00D06674">
        <w:rPr>
          <w:rFonts w:eastAsia="Calibri"/>
          <w:sz w:val="22"/>
          <w:szCs w:val="22"/>
          <w:lang w:val="en-US" w:eastAsia="en-US"/>
        </w:rPr>
        <w:t>ua</w:t>
      </w:r>
      <w:r w:rsidRPr="00D06674">
        <w:rPr>
          <w:rFonts w:eastAsia="Calibri"/>
          <w:sz w:val="22"/>
          <w:szCs w:val="22"/>
          <w:lang w:val="en-US" w:eastAsia="en-US"/>
        </w:rPr>
        <w:fldChar w:fldCharType="end"/>
      </w:r>
      <w:r w:rsidRPr="00F14CDF">
        <w:rPr>
          <w:rFonts w:eastAsia="Calibri"/>
          <w:sz w:val="22"/>
          <w:szCs w:val="22"/>
          <w:lang w:eastAsia="en-US"/>
        </w:rPr>
        <w:t xml:space="preserve">; </w:t>
      </w:r>
      <w:r w:rsidRPr="00D06674">
        <w:rPr>
          <w:rFonts w:eastAsia="Calibri"/>
          <w:sz w:val="22"/>
          <w:szCs w:val="22"/>
          <w:lang w:eastAsia="en-US"/>
        </w:rPr>
        <w:t>факс</w:t>
      </w:r>
      <w:r w:rsidRPr="00F14CDF">
        <w:rPr>
          <w:rFonts w:eastAsia="Calibri"/>
          <w:sz w:val="22"/>
          <w:szCs w:val="22"/>
          <w:lang w:eastAsia="en-US"/>
        </w:rPr>
        <w:t xml:space="preserve"> (057) 702-11-13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val="en-US" w:eastAsia="en-US"/>
        </w:rPr>
      </w:pPr>
      <w:proofErr w:type="gramStart"/>
      <w:r w:rsidRPr="00D06674">
        <w:rPr>
          <w:rFonts w:eastAsia="Calibri"/>
          <w:sz w:val="22"/>
          <w:szCs w:val="22"/>
          <w:lang w:val="en-US" w:eastAsia="en-US"/>
        </w:rPr>
        <w:t>This paper deals with the use of sulfuric and development cylindrical lamp shape.</w:t>
      </w:r>
      <w:proofErr w:type="gramEnd"/>
      <w:r w:rsidRPr="00D06674">
        <w:rPr>
          <w:rFonts w:eastAsia="Calibri"/>
          <w:sz w:val="22"/>
          <w:szCs w:val="22"/>
          <w:lang w:val="en-US" w:eastAsia="en-US"/>
        </w:rPr>
        <w:t xml:space="preserve"> For its reliable operation </w:t>
      </w:r>
      <w:proofErr w:type="gramStart"/>
      <w:r w:rsidRPr="00D06674">
        <w:rPr>
          <w:rFonts w:eastAsia="Calibri"/>
          <w:sz w:val="22"/>
          <w:szCs w:val="22"/>
          <w:lang w:val="en-US" w:eastAsia="en-US"/>
        </w:rPr>
        <w:t>is designed resonator system details</w:t>
      </w:r>
      <w:proofErr w:type="gramEnd"/>
      <w:r w:rsidRPr="00D06674">
        <w:rPr>
          <w:rFonts w:eastAsia="Calibri"/>
          <w:sz w:val="22"/>
          <w:szCs w:val="22"/>
          <w:lang w:val="en-US" w:eastAsia="en-US"/>
        </w:rPr>
        <w:t xml:space="preserve"> please sizes. In the resonator system resolved two major issues related to the quality of calculations, highlighted the key benefits, such as no need for cooling, higher screen illumination.</w:t>
      </w:r>
    </w:p>
    <w:p w:rsidR="00F14CDF" w:rsidRPr="00D06674" w:rsidRDefault="00F14CDF" w:rsidP="00F14CDF">
      <w:pPr>
        <w:ind w:firstLine="567"/>
        <w:jc w:val="both"/>
        <w:rPr>
          <w:rFonts w:eastAsia="Calibri"/>
          <w:b/>
          <w:sz w:val="22"/>
          <w:szCs w:val="22"/>
          <w:lang w:val="en-US" w:eastAsia="en-US"/>
        </w:rPr>
      </w:pPr>
    </w:p>
    <w:p w:rsidR="00F14CDF" w:rsidRPr="00D06674" w:rsidRDefault="00F14CDF" w:rsidP="00F14CDF">
      <w:pPr>
        <w:ind w:firstLine="567"/>
        <w:jc w:val="both"/>
        <w:rPr>
          <w:rFonts w:eastAsia="Calibri"/>
          <w:b/>
          <w:sz w:val="22"/>
          <w:szCs w:val="22"/>
          <w:lang w:eastAsia="en-US"/>
        </w:rPr>
      </w:pPr>
      <w:r w:rsidRPr="00D06674">
        <w:rPr>
          <w:rFonts w:eastAsia="Calibri"/>
          <w:b/>
          <w:sz w:val="22"/>
          <w:szCs w:val="22"/>
          <w:lang w:eastAsia="en-US"/>
        </w:rPr>
        <w:t>Введение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>В настоящее время большое внимание ученых уделяется разработке и использованию новых мощных высокоэффективных источников света, которые были бы экологически безопасными и имели бы спектр излучения очень близкий к солнечному спектру. Широкое применение таких источников света напрямую зависит от предъявляемых требований потребителем, которые с каждым годом повышаются. Качество воспроизводимого излучения, непосредственно, оценивается для всего светотехнического прибора [1] в целом, его характеристик, режима работы, спектра излучения и т.д</w:t>
      </w:r>
      <w:proofErr w:type="gramStart"/>
      <w:r w:rsidRPr="00D06674">
        <w:rPr>
          <w:rFonts w:eastAsia="Calibri"/>
          <w:sz w:val="22"/>
          <w:szCs w:val="22"/>
          <w:lang w:eastAsia="en-US"/>
        </w:rPr>
        <w:t xml:space="preserve">.. </w:t>
      </w:r>
      <w:proofErr w:type="gramEnd"/>
      <w:r w:rsidRPr="00D06674">
        <w:rPr>
          <w:rFonts w:eastAsia="Calibri"/>
          <w:sz w:val="22"/>
          <w:szCs w:val="22"/>
          <w:lang w:eastAsia="en-US"/>
        </w:rPr>
        <w:t xml:space="preserve">Поэтому наиболее высокие требования выдвигаются к источнику излучения [2], а так же к прожекторной системе, передающей строгую параллельность лучей, равномерность освещения. 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На сегодняшний день уже созданы мощные и долговечные источники света, как например,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безэлектродные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СВЧ-газоразрядные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лампы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квазисолнечного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света. Для работы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безэлектродной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серной лампы необходимо устойчивое электромагнитное поле с частотой 2,45-2,5 ГГц. Именно такая частота требуется для возбуждения </w:t>
      </w:r>
      <w:proofErr w:type="spellStart"/>
      <w:r w:rsidRPr="00D06674">
        <w:rPr>
          <w:rFonts w:eastAsia="Calibri"/>
          <w:sz w:val="22"/>
          <w:szCs w:val="22"/>
          <w:lang w:val="en-US" w:eastAsia="en-US"/>
        </w:rPr>
        <w:t>Ar</w:t>
      </w:r>
      <w:proofErr w:type="spellEnd"/>
      <w:r w:rsidRPr="00D06674">
        <w:rPr>
          <w:rFonts w:eastAsia="Calibri"/>
          <w:sz w:val="22"/>
          <w:szCs w:val="22"/>
          <w:lang w:eastAsia="en-US"/>
        </w:rPr>
        <w:t>-</w:t>
      </w:r>
      <w:r w:rsidRPr="00D06674">
        <w:rPr>
          <w:rFonts w:eastAsia="Calibri"/>
          <w:sz w:val="22"/>
          <w:szCs w:val="22"/>
          <w:lang w:val="en-US" w:eastAsia="en-US"/>
        </w:rPr>
        <w:t>S</w:t>
      </w:r>
      <w:r w:rsidRPr="00D06674">
        <w:rPr>
          <w:rFonts w:eastAsia="Calibri"/>
          <w:sz w:val="22"/>
          <w:szCs w:val="22"/>
          <w:lang w:eastAsia="en-US"/>
        </w:rPr>
        <w:t xml:space="preserve"> смеси,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поджига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плазмы и безотказной работы источника излучения. Серная лампа обладает многими преимуществами, но самым главным недостатком является, большая температура колбы и как следствие необходимость ее вращения для охлаждения.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В данной работе проводится исследование резонаторной системы для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безэлектродной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серной лампы цилиндрической формы, на базе параболоцилиндрического отражателя, получение распределения электромагнитного поля в оптическом фокусе прожектора.</w:t>
      </w:r>
    </w:p>
    <w:p w:rsidR="00F14CDF" w:rsidRPr="00D06674" w:rsidRDefault="00F14CDF" w:rsidP="00F14CDF">
      <w:pPr>
        <w:ind w:firstLine="567"/>
        <w:jc w:val="both"/>
        <w:rPr>
          <w:rFonts w:eastAsia="Calibri"/>
          <w:b/>
          <w:sz w:val="22"/>
          <w:szCs w:val="22"/>
          <w:lang w:val="uk-UA" w:eastAsia="en-US"/>
        </w:rPr>
      </w:pPr>
    </w:p>
    <w:p w:rsidR="00F14CDF" w:rsidRPr="00D06674" w:rsidRDefault="00F14CDF" w:rsidP="00F14CDF">
      <w:pPr>
        <w:ind w:firstLine="567"/>
        <w:rPr>
          <w:rFonts w:eastAsia="Calibri"/>
          <w:b/>
          <w:sz w:val="22"/>
          <w:szCs w:val="22"/>
          <w:lang w:eastAsia="en-US"/>
        </w:rPr>
      </w:pPr>
      <w:r w:rsidRPr="00D06674">
        <w:rPr>
          <w:rFonts w:eastAsia="Calibri"/>
          <w:b/>
          <w:sz w:val="22"/>
          <w:szCs w:val="22"/>
          <w:lang w:eastAsia="en-US"/>
        </w:rPr>
        <w:t>Обзор резонаторных систем</w:t>
      </w:r>
    </w:p>
    <w:p w:rsidR="00F14CDF" w:rsidRPr="00D279E6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На сегодняшний день получила распространение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безэлектродная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серная лампа шаровой формы. Такая лампа устанавливается в резонатор на базе параболоидного отражателя. Так же в конструкцию входит защитный экран и двигатель, предназначенный для вращения лампы, ее охлаждения. Экспериментальная установка с использованием такой лампы была описана в [3]. Защитный экран в данной конструкции установлен на выходе отражателя, таким образом, в качестве резонатора выступает весь его объем. Такими же исследованиями занимается компания </w:t>
      </w:r>
      <w:r w:rsidRPr="00D06674">
        <w:rPr>
          <w:rFonts w:eastAsia="Calibri"/>
          <w:sz w:val="22"/>
          <w:szCs w:val="22"/>
          <w:lang w:val="en-US" w:eastAsia="en-US"/>
        </w:rPr>
        <w:t>LG</w:t>
      </w:r>
      <w:r w:rsidRPr="00D06674">
        <w:rPr>
          <w:rFonts w:eastAsia="Calibri"/>
          <w:sz w:val="22"/>
          <w:szCs w:val="22"/>
          <w:lang w:eastAsia="en-US"/>
        </w:rPr>
        <w:t>, сконструировавшая прожектор на основе серной лампы. Их конструкция отличается расположением экрана, установленного внутри отражателя вокруг лампы. Данная установка уже предложена на продажу.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После анализа резонаторных систем, была выбрана конструкция на базе параболоцилиндрического отражателя. Такой выбор связан с необходимостью горизонтального расположения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безэлектродной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серной лампы цилиндрической формы (рисунок 1).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</w:p>
    <w:p w:rsidR="00F14CDF" w:rsidRPr="00D06674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noProof/>
          <w:sz w:val="22"/>
          <w:szCs w:val="22"/>
        </w:rPr>
        <w:drawing>
          <wp:inline distT="0" distB="0" distL="0" distR="0">
            <wp:extent cx="1955165" cy="1087755"/>
            <wp:effectExtent l="19050" t="0" r="698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165" cy="1087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2"/>
          <w:szCs w:val="22"/>
        </w:rPr>
        <w:drawing>
          <wp:inline distT="0" distB="0" distL="0" distR="0">
            <wp:extent cx="1687195" cy="1119505"/>
            <wp:effectExtent l="19050" t="0" r="8255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195" cy="1119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CDF" w:rsidRPr="00D06674" w:rsidRDefault="00F14CDF" w:rsidP="00F14CDF">
      <w:pPr>
        <w:ind w:firstLine="567"/>
        <w:jc w:val="center"/>
        <w:rPr>
          <w:rFonts w:eastAsia="Calibri"/>
          <w:sz w:val="22"/>
          <w:szCs w:val="22"/>
          <w:highlight w:val="magenta"/>
          <w:lang w:eastAsia="en-US"/>
        </w:rPr>
      </w:pPr>
    </w:p>
    <w:p w:rsidR="00F14CDF" w:rsidRPr="00D06674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Рисунок </w:t>
      </w:r>
      <w:r w:rsidRPr="00D279E6">
        <w:rPr>
          <w:rFonts w:eastAsia="Calibri"/>
          <w:sz w:val="22"/>
          <w:szCs w:val="22"/>
          <w:lang w:eastAsia="en-US"/>
        </w:rPr>
        <w:t>1</w:t>
      </w:r>
      <w:r w:rsidRPr="00D06674">
        <w:rPr>
          <w:rFonts w:eastAsia="Calibri"/>
          <w:sz w:val="22"/>
          <w:szCs w:val="22"/>
          <w:lang w:eastAsia="en-US"/>
        </w:rPr>
        <w:t xml:space="preserve"> – Серная лампа цилиндрической формы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proofErr w:type="gramStart"/>
      <w:r w:rsidRPr="00D06674">
        <w:rPr>
          <w:rFonts w:eastAsia="Calibri"/>
          <w:sz w:val="22"/>
          <w:szCs w:val="22"/>
          <w:lang w:eastAsia="en-US"/>
        </w:rPr>
        <w:lastRenderedPageBreak/>
        <w:t>Параболоцилиндрическая форма прожектора позволяет добиться светового пучка веерообразной формы с различными углами излучения в горизонтальной и вертикальной плоскостях.</w:t>
      </w:r>
      <w:proofErr w:type="gramEnd"/>
      <w:r w:rsidRPr="00D06674">
        <w:rPr>
          <w:rFonts w:eastAsia="Calibri"/>
          <w:sz w:val="22"/>
          <w:szCs w:val="22"/>
          <w:lang w:eastAsia="en-US"/>
        </w:rPr>
        <w:t xml:space="preserve"> Форму отражателя можно представить как определенное количество парабол, которые располагаясь параллельно друг другу, предают отражателю цилиндрический вид. Важным является то, что при точном габаритном расчете сохраняется параллельность световых лучей. 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При использовании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безэлектродной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серной лампы цилиндрической формы упрощается решение задачи, связанной с охлаждением источника излучения. В работе [4] была показана экспериментальная установка и проведены исследования влияния мощности на температуру колбы цилиндрической серной лампы. Температура, до которой разогревается серная лампа в процессе работы в пределах от 70 до 360</w:t>
      </w:r>
      <w:proofErr w:type="gramStart"/>
      <w:r w:rsidRPr="00D06674">
        <w:rPr>
          <w:rFonts w:eastAsia="Calibri"/>
          <w:sz w:val="22"/>
          <w:szCs w:val="22"/>
          <w:lang w:eastAsia="en-US"/>
        </w:rPr>
        <w:t> °С</w:t>
      </w:r>
      <w:proofErr w:type="gramEnd"/>
      <w:r w:rsidRPr="00D06674">
        <w:rPr>
          <w:rFonts w:eastAsia="Calibri"/>
          <w:sz w:val="22"/>
          <w:szCs w:val="22"/>
          <w:lang w:eastAsia="en-US"/>
        </w:rPr>
        <w:t>, не требует ее специального охлаждения вращением от двигателя. Для стабильной работы лампы достаточно естественного охлаждения.</w:t>
      </w:r>
    </w:p>
    <w:p w:rsidR="00F14CDF" w:rsidRPr="00D06674" w:rsidRDefault="00F14CDF" w:rsidP="00F14CDF">
      <w:pPr>
        <w:ind w:firstLine="567"/>
        <w:jc w:val="both"/>
        <w:rPr>
          <w:rFonts w:eastAsia="Calibri"/>
          <w:b/>
          <w:sz w:val="22"/>
          <w:szCs w:val="22"/>
          <w:lang w:eastAsia="en-US"/>
        </w:rPr>
      </w:pPr>
    </w:p>
    <w:p w:rsidR="00F14CDF" w:rsidRPr="00D06674" w:rsidRDefault="00F14CDF" w:rsidP="00F14CDF">
      <w:pPr>
        <w:ind w:firstLine="567"/>
        <w:jc w:val="both"/>
        <w:rPr>
          <w:rFonts w:eastAsia="Calibri"/>
          <w:b/>
          <w:sz w:val="22"/>
          <w:szCs w:val="22"/>
          <w:lang w:eastAsia="en-US"/>
        </w:rPr>
      </w:pPr>
      <w:r w:rsidRPr="00D06674">
        <w:rPr>
          <w:rFonts w:eastAsia="Calibri"/>
          <w:b/>
          <w:sz w:val="22"/>
          <w:szCs w:val="22"/>
          <w:lang w:eastAsia="en-US"/>
        </w:rPr>
        <w:t>Моделирование резонаторной системы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Для предварительного анализа возможности применения параболоцилиндрического прожектора с встроенным в конструкцию резонатором было предложено провести компьютерное моделирование. Моделирование проводилось на основании полученных результатов расчета габаритных размеров (таблица 1). 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</w:p>
    <w:p w:rsidR="00F14CDF" w:rsidRPr="00D06674" w:rsidRDefault="00F14CDF" w:rsidP="00F14CDF">
      <w:pPr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>Таблица 1 – Результаты расчета габаритных размеров отражателя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2"/>
        <w:gridCol w:w="2393"/>
        <w:gridCol w:w="2393"/>
        <w:gridCol w:w="2393"/>
      </w:tblGrid>
      <w:tr w:rsidR="00F14CDF" w:rsidRPr="00D06674" w:rsidTr="00586A77">
        <w:trPr>
          <w:trHeight w:val="583"/>
        </w:trPr>
        <w:tc>
          <w:tcPr>
            <w:tcW w:w="2392" w:type="dxa"/>
            <w:shd w:val="clear" w:color="auto" w:fill="auto"/>
            <w:vAlign w:val="center"/>
          </w:tcPr>
          <w:p w:rsidR="00F14CDF" w:rsidRPr="00D06674" w:rsidRDefault="00F14CDF" w:rsidP="00586A7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06674">
              <w:rPr>
                <w:rFonts w:eastAsia="Calibri"/>
                <w:sz w:val="22"/>
                <w:szCs w:val="22"/>
                <w:lang w:eastAsia="en-US"/>
              </w:rPr>
              <w:t xml:space="preserve">Высота отражателя </w:t>
            </w:r>
            <w:r w:rsidRPr="00D06674">
              <w:rPr>
                <w:rFonts w:eastAsia="Calibri"/>
                <w:position w:val="-4"/>
                <w:sz w:val="22"/>
                <w:szCs w:val="22"/>
                <w:lang w:eastAsia="en-US"/>
              </w:rPr>
              <w:object w:dxaOrig="260" w:dyaOrig="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3.65pt;height:11.15pt">
                  <v:imagedata r:id="rId7" o:title=""/>
                </v:shape>
              </w:object>
            </w:r>
            <w:r w:rsidRPr="00D06674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proofErr w:type="gramStart"/>
            <w:r w:rsidRPr="00D06674">
              <w:rPr>
                <w:rFonts w:eastAsia="Calibri"/>
                <w:sz w:val="22"/>
                <w:szCs w:val="22"/>
                <w:lang w:eastAsia="en-US"/>
              </w:rPr>
              <w:t>м</w:t>
            </w:r>
            <w:proofErr w:type="gramEnd"/>
          </w:p>
        </w:tc>
        <w:tc>
          <w:tcPr>
            <w:tcW w:w="2393" w:type="dxa"/>
            <w:shd w:val="clear" w:color="auto" w:fill="auto"/>
            <w:vAlign w:val="center"/>
          </w:tcPr>
          <w:p w:rsidR="00F14CDF" w:rsidRPr="00D06674" w:rsidRDefault="00F14CDF" w:rsidP="00586A7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06674">
              <w:rPr>
                <w:rFonts w:eastAsia="Calibri"/>
                <w:sz w:val="22"/>
                <w:szCs w:val="22"/>
                <w:lang w:eastAsia="en-US"/>
              </w:rPr>
              <w:t xml:space="preserve">Длина отражателя </w:t>
            </w:r>
            <w:r w:rsidRPr="00D06674">
              <w:rPr>
                <w:rFonts w:eastAsia="Calibri"/>
                <w:position w:val="-4"/>
                <w:sz w:val="22"/>
                <w:szCs w:val="22"/>
                <w:lang w:eastAsia="en-US"/>
              </w:rPr>
              <w:object w:dxaOrig="200" w:dyaOrig="220">
                <v:shape id="_x0000_i1028" type="#_x0000_t75" style="width:11.15pt;height:11.15pt">
                  <v:imagedata r:id="rId8" o:title=""/>
                </v:shape>
              </w:object>
            </w:r>
            <w:r w:rsidRPr="00D06674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proofErr w:type="gramStart"/>
            <w:r w:rsidRPr="00D06674">
              <w:rPr>
                <w:rFonts w:eastAsia="Calibri"/>
                <w:sz w:val="22"/>
                <w:szCs w:val="22"/>
                <w:lang w:eastAsia="en-US"/>
              </w:rPr>
              <w:t>м</w:t>
            </w:r>
            <w:proofErr w:type="gramEnd"/>
          </w:p>
        </w:tc>
        <w:tc>
          <w:tcPr>
            <w:tcW w:w="2393" w:type="dxa"/>
            <w:shd w:val="clear" w:color="auto" w:fill="auto"/>
            <w:vAlign w:val="center"/>
          </w:tcPr>
          <w:p w:rsidR="00F14CDF" w:rsidRPr="00D06674" w:rsidRDefault="00F14CDF" w:rsidP="00586A7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06674">
              <w:rPr>
                <w:rFonts w:eastAsia="Calibri"/>
                <w:sz w:val="22"/>
                <w:szCs w:val="22"/>
                <w:lang w:eastAsia="en-US"/>
              </w:rPr>
              <w:t xml:space="preserve">Фокусное расстояние </w:t>
            </w:r>
            <w:r w:rsidRPr="00D06674">
              <w:rPr>
                <w:rFonts w:eastAsia="Calibri"/>
                <w:position w:val="-10"/>
                <w:sz w:val="22"/>
                <w:szCs w:val="22"/>
                <w:lang w:eastAsia="en-US"/>
              </w:rPr>
              <w:object w:dxaOrig="220" w:dyaOrig="300">
                <v:shape id="_x0000_i1029" type="#_x0000_t75" style="width:11.15pt;height:16.15pt">
                  <v:imagedata r:id="rId9" o:title=""/>
                </v:shape>
              </w:object>
            </w:r>
            <w:r w:rsidRPr="00D06674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proofErr w:type="gramStart"/>
            <w:r w:rsidRPr="00D06674">
              <w:rPr>
                <w:rFonts w:eastAsia="Calibri"/>
                <w:sz w:val="22"/>
                <w:szCs w:val="22"/>
                <w:lang w:eastAsia="en-US"/>
              </w:rPr>
              <w:t>м</w:t>
            </w:r>
            <w:proofErr w:type="gramEnd"/>
          </w:p>
        </w:tc>
        <w:tc>
          <w:tcPr>
            <w:tcW w:w="2393" w:type="dxa"/>
            <w:shd w:val="clear" w:color="auto" w:fill="auto"/>
            <w:vAlign w:val="center"/>
          </w:tcPr>
          <w:p w:rsidR="00F14CDF" w:rsidRPr="00D06674" w:rsidRDefault="00F14CDF" w:rsidP="00586A7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06674">
              <w:rPr>
                <w:rFonts w:eastAsia="Calibri"/>
                <w:sz w:val="22"/>
                <w:szCs w:val="22"/>
                <w:lang w:eastAsia="en-US"/>
              </w:rPr>
              <w:t xml:space="preserve">Радиус-вектор </w:t>
            </w:r>
            <w:r w:rsidRPr="00D06674">
              <w:rPr>
                <w:rFonts w:eastAsia="Calibri"/>
                <w:position w:val="-4"/>
                <w:sz w:val="22"/>
                <w:szCs w:val="22"/>
                <w:lang w:eastAsia="en-US"/>
              </w:rPr>
              <w:object w:dxaOrig="160" w:dyaOrig="180">
                <v:shape id="_x0000_i1030" type="#_x0000_t75" style="width:8.7pt;height:8.7pt">
                  <v:imagedata r:id="rId10" o:title=""/>
                </v:shape>
              </w:object>
            </w:r>
            <w:r w:rsidRPr="00D06674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proofErr w:type="gramStart"/>
            <w:r w:rsidRPr="00D06674">
              <w:rPr>
                <w:rFonts w:eastAsia="Calibri"/>
                <w:sz w:val="22"/>
                <w:szCs w:val="22"/>
                <w:lang w:eastAsia="en-US"/>
              </w:rPr>
              <w:t>м</w:t>
            </w:r>
            <w:proofErr w:type="gramEnd"/>
          </w:p>
        </w:tc>
      </w:tr>
      <w:tr w:rsidR="00F14CDF" w:rsidRPr="00D06674" w:rsidTr="00586A77">
        <w:trPr>
          <w:trHeight w:val="583"/>
        </w:trPr>
        <w:tc>
          <w:tcPr>
            <w:tcW w:w="2392" w:type="dxa"/>
            <w:shd w:val="clear" w:color="auto" w:fill="auto"/>
            <w:vAlign w:val="center"/>
          </w:tcPr>
          <w:p w:rsidR="00F14CDF" w:rsidRPr="00D06674" w:rsidRDefault="00F14CDF" w:rsidP="00586A7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06674">
              <w:rPr>
                <w:rFonts w:eastAsia="Calibri"/>
                <w:sz w:val="22"/>
                <w:szCs w:val="22"/>
                <w:lang w:eastAsia="en-US"/>
              </w:rPr>
              <w:t>0,1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F14CDF" w:rsidRPr="00D06674" w:rsidRDefault="00F14CDF" w:rsidP="00586A7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06674">
              <w:rPr>
                <w:rFonts w:eastAsia="Calibri"/>
                <w:sz w:val="22"/>
                <w:szCs w:val="22"/>
                <w:lang w:eastAsia="en-US"/>
              </w:rPr>
              <w:t>0,25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F14CDF" w:rsidRPr="00D06674" w:rsidRDefault="00F14CDF" w:rsidP="00586A7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06674">
              <w:rPr>
                <w:rFonts w:eastAsia="Calibri"/>
                <w:sz w:val="22"/>
                <w:szCs w:val="22"/>
                <w:lang w:eastAsia="en-US"/>
              </w:rPr>
              <w:t>0,04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F14CDF" w:rsidRPr="00D06674" w:rsidRDefault="00F14CDF" w:rsidP="00586A77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06674">
              <w:rPr>
                <w:rFonts w:eastAsia="Calibri"/>
                <w:sz w:val="22"/>
                <w:szCs w:val="22"/>
                <w:lang w:eastAsia="en-US"/>
              </w:rPr>
              <w:t>0,032</w:t>
            </w:r>
          </w:p>
        </w:tc>
      </w:tr>
    </w:tbl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val="en-US" w:eastAsia="en-US"/>
        </w:rPr>
      </w:pP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Длина резонатора </w:t>
      </w:r>
      <w:r w:rsidRPr="00D06674">
        <w:rPr>
          <w:rFonts w:eastAsia="Calibri"/>
          <w:sz w:val="22"/>
          <w:szCs w:val="22"/>
          <w:lang w:val="en-US" w:eastAsia="en-US"/>
        </w:rPr>
        <w:t>Z</w:t>
      </w:r>
      <w:r w:rsidRPr="00D06674">
        <w:rPr>
          <w:rFonts w:eastAsia="Calibri"/>
          <w:sz w:val="22"/>
          <w:szCs w:val="22"/>
          <w:lang w:eastAsia="en-US"/>
        </w:rPr>
        <w:t xml:space="preserve">, параметр, устанавливаемый в зависимости от размеров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безэлектродной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серной лампы. Полученные результаты позволили изобразить габаритные размеры отражателя (рисунок </w:t>
      </w:r>
      <w:r w:rsidRPr="00D06674">
        <w:rPr>
          <w:rFonts w:eastAsia="Calibri"/>
          <w:sz w:val="22"/>
          <w:szCs w:val="22"/>
          <w:lang w:val="en-US" w:eastAsia="en-US"/>
        </w:rPr>
        <w:t>2</w:t>
      </w:r>
      <w:r w:rsidRPr="00D06674">
        <w:rPr>
          <w:rFonts w:eastAsia="Calibri"/>
          <w:sz w:val="22"/>
          <w:szCs w:val="22"/>
          <w:lang w:eastAsia="en-US"/>
        </w:rPr>
        <w:t>).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</w:p>
    <w:p w:rsidR="00F14CDF" w:rsidRPr="00D06674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noProof/>
          <w:sz w:val="22"/>
          <w:szCs w:val="22"/>
        </w:rPr>
        <w:drawing>
          <wp:inline distT="0" distB="0" distL="0" distR="0">
            <wp:extent cx="1292860" cy="1339850"/>
            <wp:effectExtent l="19050" t="0" r="254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860" cy="133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</w:p>
    <w:p w:rsidR="00F14CDF" w:rsidRPr="00D279E6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Рисунок </w:t>
      </w:r>
      <w:r w:rsidRPr="00D279E6">
        <w:rPr>
          <w:rFonts w:eastAsia="Calibri"/>
          <w:sz w:val="22"/>
          <w:szCs w:val="22"/>
          <w:lang w:eastAsia="en-US"/>
        </w:rPr>
        <w:t>2</w:t>
      </w:r>
      <w:r w:rsidRPr="00D06674">
        <w:rPr>
          <w:rFonts w:eastAsia="Calibri"/>
          <w:sz w:val="22"/>
          <w:szCs w:val="22"/>
          <w:lang w:eastAsia="en-US"/>
        </w:rPr>
        <w:t xml:space="preserve"> –Габаритные размеры отражателя</w:t>
      </w:r>
    </w:p>
    <w:p w:rsidR="00F14CDF" w:rsidRPr="00D279E6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После внесения габаритных параметров отражателя в компьютерную программу, был задан частотный диапазон: 2,45-2,5 ГГц. Излучение вводилось с торца отражателя (рисунок 3), и располагалось в оптическом фокусе. В качестве материала для отражателя была выбрана сталь. Экран был так же выполнен из стальной сетки. 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</w:p>
    <w:p w:rsidR="00F14CDF" w:rsidRPr="00D06674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noProof/>
          <w:sz w:val="22"/>
          <w:szCs w:val="22"/>
        </w:rPr>
        <w:drawing>
          <wp:inline distT="0" distB="0" distL="0" distR="0">
            <wp:extent cx="3830955" cy="1891665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955" cy="1891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CDF" w:rsidRPr="00D06674" w:rsidRDefault="00F14CDF" w:rsidP="00F14CDF">
      <w:pPr>
        <w:ind w:left="3686"/>
        <w:jc w:val="both"/>
        <w:rPr>
          <w:rFonts w:eastAsia="Calibri"/>
          <w:sz w:val="22"/>
          <w:szCs w:val="22"/>
          <w:lang w:eastAsia="en-US"/>
        </w:rPr>
      </w:pPr>
    </w:p>
    <w:p w:rsidR="00F14CDF" w:rsidRPr="00D06674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Рисунок </w:t>
      </w:r>
      <w:r w:rsidRPr="00D279E6">
        <w:rPr>
          <w:rFonts w:eastAsia="Calibri"/>
          <w:sz w:val="22"/>
          <w:szCs w:val="22"/>
          <w:lang w:eastAsia="en-US"/>
        </w:rPr>
        <w:t>3</w:t>
      </w:r>
      <w:r w:rsidRPr="00D06674">
        <w:rPr>
          <w:rFonts w:eastAsia="Calibri"/>
          <w:sz w:val="22"/>
          <w:szCs w:val="22"/>
          <w:lang w:eastAsia="en-US"/>
        </w:rPr>
        <w:t xml:space="preserve"> – Компьютерная модель параболоцилиндрического резонатора</w:t>
      </w:r>
    </w:p>
    <w:p w:rsidR="00F14CDF" w:rsidRPr="00D06674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На рисунке изображено распространение электрической составляющей поля. Частота работы модели равна 2,46 ГГц, что соответствует диапазону работы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безэлектродной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серной лампы 2,45-2,5 ГГц. Данная частота работает на первой моде. На рисунке 4 представлена шкала для наглядной, качественной оценки распространения поля в резонаторе. С помощью этой шкалы можно проверить совмещение электрического поля с оптическим фокусом прожектора. Направление электрического поля указано на рисунке 4 черной стрелкой. Нахождение источника излучения в оптическом фокусе отражателя – это основное светотехническое правило. Отражатель должен иметь форму удовлетворяющую требованию максимальной концентрации светового потока источника. Это подразумевает определенный ход лучей, необходимо добиться высокой параллельности хода лучей. Так как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безэлектродная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серная лампа накачивается СВЧ полем, ее следует устанавливать в максимум электрической составляющей поля. Таким образом, в прожекторе должно быть решено две задачи: точный расчет оптической составляющей отражателя и расположение максимума электрической составляющей в фокусе. 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На рисунке 4 можно наглядно посмотреть соответствие максимума электрической составляющей поля относительно оптического фокуса. 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</w:p>
    <w:p w:rsidR="00F14CDF" w:rsidRPr="00D06674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noProof/>
          <w:sz w:val="22"/>
          <w:szCs w:val="22"/>
        </w:rPr>
        <w:drawing>
          <wp:inline distT="0" distB="0" distL="0" distR="0">
            <wp:extent cx="1907540" cy="1860550"/>
            <wp:effectExtent l="1905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540" cy="186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</w:p>
    <w:p w:rsidR="00F14CDF" w:rsidRPr="00D279E6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Рисунок </w:t>
      </w:r>
      <w:r w:rsidRPr="00D279E6">
        <w:rPr>
          <w:rFonts w:eastAsia="Calibri"/>
          <w:sz w:val="22"/>
          <w:szCs w:val="22"/>
          <w:lang w:eastAsia="en-US"/>
        </w:rPr>
        <w:t>4</w:t>
      </w:r>
      <w:r w:rsidRPr="00D06674">
        <w:rPr>
          <w:rFonts w:eastAsia="Calibri"/>
          <w:sz w:val="22"/>
          <w:szCs w:val="22"/>
          <w:lang w:eastAsia="en-US"/>
        </w:rPr>
        <w:t xml:space="preserve"> – Профильный вид компьютерной модели</w:t>
      </w:r>
    </w:p>
    <w:p w:rsidR="00F14CDF" w:rsidRPr="00D279E6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>Работа с цилиндрическими источниками излучения для ИСИ подразумевает один недостаток – неравномерное распределение плазмы в колбе по ее длине (рисунок 5).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</w:p>
    <w:p w:rsidR="00F14CDF" w:rsidRPr="00D06674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5186680" cy="1765935"/>
            <wp:effectExtent l="1905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680" cy="1765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4CDF" w:rsidRPr="00D06674" w:rsidRDefault="00F14CDF" w:rsidP="00F14CDF">
      <w:pPr>
        <w:ind w:left="2835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1 – </w:t>
      </w:r>
      <w:proofErr w:type="spellStart"/>
      <w:proofErr w:type="gramStart"/>
      <w:r w:rsidRPr="00D06674">
        <w:rPr>
          <w:rFonts w:eastAsia="Calibri"/>
          <w:sz w:val="22"/>
          <w:szCs w:val="22"/>
          <w:lang w:eastAsia="en-US"/>
        </w:rPr>
        <w:t>аргон-серная</w:t>
      </w:r>
      <w:proofErr w:type="spellEnd"/>
      <w:proofErr w:type="gramEnd"/>
      <w:r w:rsidRPr="00D06674">
        <w:rPr>
          <w:rFonts w:eastAsia="Calibri"/>
          <w:sz w:val="22"/>
          <w:szCs w:val="22"/>
          <w:lang w:eastAsia="en-US"/>
        </w:rPr>
        <w:t xml:space="preserve"> смесь;</w:t>
      </w:r>
    </w:p>
    <w:p w:rsidR="00F14CDF" w:rsidRPr="00D06674" w:rsidRDefault="00F14CDF" w:rsidP="00F14CDF">
      <w:pPr>
        <w:ind w:left="2835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2 –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безэлектродная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серная лампа цилиндрической формы;</w:t>
      </w:r>
    </w:p>
    <w:p w:rsidR="00F14CDF" w:rsidRPr="00D06674" w:rsidRDefault="00F14CDF" w:rsidP="00F14CDF">
      <w:pPr>
        <w:ind w:left="2835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>3 – схема отражателя;</w:t>
      </w:r>
    </w:p>
    <w:p w:rsidR="00F14CDF" w:rsidRPr="00D06674" w:rsidRDefault="00F14CDF" w:rsidP="00F14CDF">
      <w:pPr>
        <w:ind w:left="2835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4 – подвод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СВЧ-излучения</w:t>
      </w:r>
      <w:proofErr w:type="spellEnd"/>
      <w:r w:rsidRPr="00D06674">
        <w:rPr>
          <w:rFonts w:eastAsia="Calibri"/>
          <w:sz w:val="22"/>
          <w:szCs w:val="22"/>
          <w:lang w:eastAsia="en-US"/>
        </w:rPr>
        <w:t>.</w:t>
      </w:r>
    </w:p>
    <w:p w:rsidR="00F14CDF" w:rsidRPr="00D06674" w:rsidRDefault="00F14CDF" w:rsidP="00F14CDF">
      <w:pPr>
        <w:ind w:left="1985"/>
        <w:jc w:val="both"/>
        <w:rPr>
          <w:rFonts w:eastAsia="Calibri"/>
          <w:sz w:val="22"/>
          <w:szCs w:val="22"/>
          <w:lang w:eastAsia="en-US"/>
        </w:rPr>
      </w:pPr>
    </w:p>
    <w:p w:rsidR="00F14CDF" w:rsidRPr="00D06674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>Рисунок 5 – Структурная схема серной лампы</w:t>
      </w:r>
    </w:p>
    <w:p w:rsidR="00F14CDF" w:rsidRPr="00D06674" w:rsidRDefault="00F14CDF" w:rsidP="00F14CDF">
      <w:pPr>
        <w:jc w:val="center"/>
        <w:rPr>
          <w:rFonts w:eastAsia="Calibri"/>
          <w:sz w:val="22"/>
          <w:szCs w:val="22"/>
          <w:lang w:eastAsia="en-US"/>
        </w:rPr>
      </w:pP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При получении даже самых оптимистических моделей следует всегда ожидать небольшой погрешности. В данной ситуации таковой является неравномерность распределения электрической составляющей поля, что влечет за собой неравномерное возбуждение плазмы в колбе. 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</w:p>
    <w:p w:rsidR="00F14CDF" w:rsidRPr="00D06674" w:rsidRDefault="00F14CDF" w:rsidP="00F14CDF">
      <w:pPr>
        <w:ind w:firstLine="567"/>
        <w:jc w:val="both"/>
        <w:rPr>
          <w:rFonts w:eastAsia="Calibri"/>
          <w:b/>
          <w:sz w:val="22"/>
          <w:szCs w:val="22"/>
          <w:lang w:eastAsia="en-US"/>
        </w:rPr>
      </w:pPr>
      <w:r w:rsidRPr="00D06674">
        <w:rPr>
          <w:rFonts w:eastAsia="Calibri"/>
          <w:b/>
          <w:sz w:val="22"/>
          <w:szCs w:val="22"/>
          <w:lang w:eastAsia="en-US"/>
        </w:rPr>
        <w:t>Выводы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Исследования, проведенные в данной работе, позволили выделить ряд преимуществ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безэлектродной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серной лампы цилиндрической формы. Среди них отсутствие необходимости в охлаждении лампы в процессе работы и равномерность освещения экрана. Выбранная отражательная система соответствует необходимым требованиям: параллельность лучей, равномерность освещения экрана. В резонаторной системе была решена задача о нахождении максимума электрической составляющей в оптическом фокусе отражателя. </w:t>
      </w:r>
    </w:p>
    <w:p w:rsidR="00F14CDF" w:rsidRPr="00D06674" w:rsidRDefault="00F14CDF" w:rsidP="00F14CDF">
      <w:pPr>
        <w:ind w:firstLine="567"/>
        <w:jc w:val="both"/>
        <w:rPr>
          <w:rFonts w:eastAsia="Calibri"/>
          <w:sz w:val="22"/>
          <w:szCs w:val="22"/>
          <w:lang w:eastAsia="en-US"/>
        </w:rPr>
      </w:pPr>
    </w:p>
    <w:p w:rsidR="00F14CDF" w:rsidRPr="00D06674" w:rsidRDefault="00F14CDF" w:rsidP="00F14CDF">
      <w:pPr>
        <w:tabs>
          <w:tab w:val="left" w:pos="142"/>
          <w:tab w:val="left" w:pos="284"/>
          <w:tab w:val="left" w:pos="426"/>
        </w:tabs>
        <w:jc w:val="both"/>
        <w:rPr>
          <w:rFonts w:eastAsia="Calibri"/>
          <w:b/>
          <w:sz w:val="22"/>
          <w:szCs w:val="22"/>
          <w:lang w:eastAsia="en-US"/>
        </w:rPr>
      </w:pPr>
      <w:r w:rsidRPr="00D06674">
        <w:rPr>
          <w:rFonts w:eastAsia="Calibri"/>
          <w:b/>
          <w:sz w:val="22"/>
          <w:szCs w:val="22"/>
          <w:lang w:eastAsia="en-US"/>
        </w:rPr>
        <w:t>Список литературы:</w:t>
      </w:r>
    </w:p>
    <w:p w:rsidR="00F14CDF" w:rsidRPr="00D06674" w:rsidRDefault="00F14CDF" w:rsidP="00F14CDF">
      <w:pPr>
        <w:keepNext/>
        <w:numPr>
          <w:ilvl w:val="0"/>
          <w:numId w:val="1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rPr>
          <w:rFonts w:eastAsia="Calibri"/>
          <w:sz w:val="22"/>
          <w:szCs w:val="22"/>
          <w:lang w:eastAsia="en-US"/>
        </w:rPr>
      </w:pPr>
      <w:proofErr w:type="spellStart"/>
      <w:r w:rsidRPr="00D06674">
        <w:rPr>
          <w:rFonts w:eastAsia="Calibri"/>
          <w:sz w:val="22"/>
          <w:szCs w:val="22"/>
          <w:lang w:eastAsia="en-US"/>
        </w:rPr>
        <w:t>Трембач</w:t>
      </w:r>
      <w:proofErr w:type="spellEnd"/>
      <w:r w:rsidRPr="00D06674">
        <w:rPr>
          <w:rFonts w:eastAsia="Calibri"/>
          <w:sz w:val="22"/>
          <w:szCs w:val="22"/>
          <w:lang w:eastAsia="en-US"/>
        </w:rPr>
        <w:t>, В. В. Световые приборы [Текст] : учеб</w:t>
      </w:r>
      <w:proofErr w:type="gramStart"/>
      <w:r w:rsidRPr="00D06674">
        <w:rPr>
          <w:rFonts w:eastAsia="Calibri"/>
          <w:sz w:val="22"/>
          <w:szCs w:val="22"/>
          <w:lang w:eastAsia="en-US"/>
        </w:rPr>
        <w:t>.</w:t>
      </w:r>
      <w:proofErr w:type="gramEnd"/>
      <w:r w:rsidRPr="00D06674">
        <w:rPr>
          <w:rFonts w:eastAsia="Calibri"/>
          <w:sz w:val="22"/>
          <w:szCs w:val="22"/>
          <w:lang w:eastAsia="en-US"/>
        </w:rPr>
        <w:t xml:space="preserve"> </w:t>
      </w:r>
      <w:proofErr w:type="gramStart"/>
      <w:r w:rsidRPr="00D06674">
        <w:rPr>
          <w:rFonts w:eastAsia="Calibri"/>
          <w:sz w:val="22"/>
          <w:szCs w:val="22"/>
          <w:lang w:eastAsia="en-US"/>
        </w:rPr>
        <w:t>д</w:t>
      </w:r>
      <w:proofErr w:type="gramEnd"/>
      <w:r w:rsidRPr="00D06674">
        <w:rPr>
          <w:rFonts w:eastAsia="Calibri"/>
          <w:sz w:val="22"/>
          <w:szCs w:val="22"/>
          <w:lang w:eastAsia="en-US"/>
        </w:rPr>
        <w:t xml:space="preserve">ля вузов по спец. «Светотехника и источники света» / В. В.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Трембач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.–2-е изд.,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перераб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. и доп. – М.: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Высш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.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шк</w:t>
      </w:r>
      <w:proofErr w:type="spellEnd"/>
      <w:r w:rsidRPr="00D06674">
        <w:rPr>
          <w:rFonts w:eastAsia="Calibri"/>
          <w:sz w:val="22"/>
          <w:szCs w:val="22"/>
          <w:lang w:eastAsia="en-US"/>
        </w:rPr>
        <w:t>., 1990. – 463 с.</w:t>
      </w:r>
    </w:p>
    <w:p w:rsidR="00F14CDF" w:rsidRPr="00D06674" w:rsidRDefault="00F14CDF" w:rsidP="00F14CDF">
      <w:pPr>
        <w:widowControl w:val="0"/>
        <w:numPr>
          <w:ilvl w:val="0"/>
          <w:numId w:val="1"/>
        </w:numPr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ind w:left="0" w:firstLine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>Рохлин, Г.Н. Разрядные источники света [Текст]/ Г.Н. Рохлин. – М.: «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Энергоатомиздат</w:t>
      </w:r>
      <w:proofErr w:type="spellEnd"/>
      <w:r w:rsidRPr="00D06674">
        <w:rPr>
          <w:rFonts w:eastAsia="Calibri"/>
          <w:sz w:val="22"/>
          <w:szCs w:val="22"/>
          <w:lang w:eastAsia="en-US"/>
        </w:rPr>
        <w:t>»,  1991. – 720 с.</w:t>
      </w:r>
    </w:p>
    <w:p w:rsidR="00F14CDF" w:rsidRPr="00D06674" w:rsidRDefault="00F14CDF" w:rsidP="00F14CDF">
      <w:pPr>
        <w:keepNext/>
        <w:numPr>
          <w:ilvl w:val="0"/>
          <w:numId w:val="1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D06674">
        <w:rPr>
          <w:rFonts w:eastAsia="Calibri"/>
          <w:sz w:val="22"/>
          <w:szCs w:val="22"/>
          <w:lang w:eastAsia="en-US"/>
        </w:rPr>
        <w:t xml:space="preserve">Диденко, А. Н.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СВЧ-источники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видимого света прожекторного типа [Текст] / А. Н. Диденко, Б. В. Зверев, А. В. Прокопенко // Журн. Инженерная физика. – 1999. – №2. – С.</w:t>
      </w:r>
      <w:r w:rsidRPr="00D06674">
        <w:rPr>
          <w:rFonts w:eastAsia="Calibri"/>
          <w:sz w:val="22"/>
          <w:szCs w:val="22"/>
          <w:lang w:val="uk-UA" w:eastAsia="en-US"/>
        </w:rPr>
        <w:t> </w:t>
      </w:r>
      <w:r w:rsidRPr="00D06674">
        <w:rPr>
          <w:rFonts w:eastAsia="Calibri"/>
          <w:sz w:val="22"/>
          <w:szCs w:val="22"/>
          <w:lang w:eastAsia="en-US"/>
        </w:rPr>
        <w:t>34-37.</w:t>
      </w:r>
    </w:p>
    <w:p w:rsidR="00F14CDF" w:rsidRPr="00D06674" w:rsidRDefault="00F14CDF" w:rsidP="00F14CDF">
      <w:pPr>
        <w:numPr>
          <w:ilvl w:val="0"/>
          <w:numId w:val="1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rPr>
          <w:rFonts w:eastAsia="Calibri"/>
          <w:sz w:val="22"/>
          <w:szCs w:val="22"/>
          <w:lang w:eastAsia="en-US"/>
        </w:rPr>
      </w:pPr>
      <w:proofErr w:type="spellStart"/>
      <w:r w:rsidRPr="00D06674">
        <w:rPr>
          <w:rFonts w:eastAsia="Calibri"/>
          <w:sz w:val="22"/>
          <w:szCs w:val="22"/>
          <w:lang w:eastAsia="en-US"/>
        </w:rPr>
        <w:t>Чурюмов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Г. И. Влияние мощности СВЧ накачки на характеристики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безэлектродной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серной лампы [Текст] / Г. И.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Чурюмов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, Ю. Л.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Старчевский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, В. П. Герасимов, Е. Н.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Одаренко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, Т. И. Фролова, В. П. Иванцов, А. И. </w:t>
      </w:r>
      <w:proofErr w:type="spellStart"/>
      <w:r w:rsidRPr="00D06674">
        <w:rPr>
          <w:rFonts w:eastAsia="Calibri"/>
          <w:sz w:val="22"/>
          <w:szCs w:val="22"/>
          <w:lang w:eastAsia="en-US"/>
        </w:rPr>
        <w:t>Экезли</w:t>
      </w:r>
      <w:proofErr w:type="spellEnd"/>
      <w:r w:rsidRPr="00D06674">
        <w:rPr>
          <w:rFonts w:eastAsia="Calibri"/>
          <w:sz w:val="22"/>
          <w:szCs w:val="22"/>
          <w:lang w:eastAsia="en-US"/>
        </w:rPr>
        <w:t xml:space="preserve"> // </w:t>
      </w:r>
      <w:r w:rsidRPr="00D06674">
        <w:rPr>
          <w:rFonts w:eastAsia="Calibri"/>
          <w:sz w:val="22"/>
          <w:szCs w:val="22"/>
          <w:lang w:val="en-US" w:eastAsia="en-US"/>
        </w:rPr>
        <w:t>Microwave</w:t>
      </w:r>
      <w:r w:rsidRPr="00D06674">
        <w:rPr>
          <w:rFonts w:eastAsia="Calibri"/>
          <w:sz w:val="22"/>
          <w:szCs w:val="22"/>
          <w:lang w:eastAsia="en-US"/>
        </w:rPr>
        <w:t xml:space="preserve"> </w:t>
      </w:r>
      <w:r w:rsidRPr="00D06674">
        <w:rPr>
          <w:rFonts w:eastAsia="Calibri"/>
          <w:sz w:val="22"/>
          <w:szCs w:val="22"/>
          <w:lang w:val="en-US" w:eastAsia="en-US"/>
        </w:rPr>
        <w:t>and</w:t>
      </w:r>
      <w:r w:rsidRPr="00D06674">
        <w:rPr>
          <w:rFonts w:eastAsia="Calibri"/>
          <w:sz w:val="22"/>
          <w:szCs w:val="22"/>
          <w:lang w:eastAsia="en-US"/>
        </w:rPr>
        <w:t xml:space="preserve"> </w:t>
      </w:r>
      <w:r w:rsidRPr="00D06674">
        <w:rPr>
          <w:rFonts w:eastAsia="Calibri"/>
          <w:sz w:val="22"/>
          <w:szCs w:val="22"/>
          <w:lang w:val="en-US" w:eastAsia="en-US"/>
        </w:rPr>
        <w:t>Telecommunication</w:t>
      </w:r>
      <w:r w:rsidRPr="00D06674">
        <w:rPr>
          <w:rFonts w:eastAsia="Calibri"/>
          <w:sz w:val="22"/>
          <w:szCs w:val="22"/>
          <w:lang w:eastAsia="en-US"/>
        </w:rPr>
        <w:t xml:space="preserve"> </w:t>
      </w:r>
      <w:r w:rsidRPr="00D06674">
        <w:rPr>
          <w:rFonts w:eastAsia="Calibri"/>
          <w:sz w:val="22"/>
          <w:szCs w:val="22"/>
          <w:lang w:val="en-US" w:eastAsia="en-US"/>
        </w:rPr>
        <w:t>Technology</w:t>
      </w:r>
      <w:r w:rsidRPr="00D06674">
        <w:rPr>
          <w:rFonts w:eastAsia="Calibri"/>
          <w:sz w:val="22"/>
          <w:szCs w:val="22"/>
          <w:lang w:eastAsia="en-US"/>
        </w:rPr>
        <w:t>. -–2011. - №1. – С. 865-866.</w:t>
      </w:r>
    </w:p>
    <w:p w:rsidR="00F14CDF" w:rsidRDefault="00F14CDF" w:rsidP="00F14CDF">
      <w:pPr>
        <w:tabs>
          <w:tab w:val="left" w:pos="180"/>
          <w:tab w:val="left" w:pos="360"/>
        </w:tabs>
        <w:jc w:val="center"/>
        <w:rPr>
          <w:sz w:val="22"/>
          <w:szCs w:val="22"/>
        </w:rPr>
      </w:pPr>
    </w:p>
    <w:p w:rsidR="00F14CDF" w:rsidRDefault="00F14CDF" w:rsidP="00F14CDF">
      <w:pPr>
        <w:tabs>
          <w:tab w:val="left" w:pos="180"/>
          <w:tab w:val="left" w:pos="360"/>
        </w:tabs>
        <w:jc w:val="center"/>
        <w:rPr>
          <w:sz w:val="22"/>
          <w:szCs w:val="22"/>
        </w:rPr>
      </w:pPr>
    </w:p>
    <w:p w:rsidR="009A7F82" w:rsidRDefault="009A7F82"/>
    <w:sectPr w:rsidR="009A7F82" w:rsidSect="009A7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C358CD"/>
    <w:multiLevelType w:val="hybridMultilevel"/>
    <w:tmpl w:val="42F2B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F14CDF"/>
    <w:rsid w:val="009A7F82"/>
    <w:rsid w:val="00F14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C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4C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4CD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1265</Words>
  <Characters>7217</Characters>
  <Application>Microsoft Office Word</Application>
  <DocSecurity>0</DocSecurity>
  <Lines>60</Lines>
  <Paragraphs>16</Paragraphs>
  <ScaleCrop>false</ScaleCrop>
  <Company>Mi5</Company>
  <LinksUpToDate>false</LinksUpToDate>
  <CharactersWithSpaces>8466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1</cp:revision>
  <dcterms:created xsi:type="dcterms:W3CDTF">2012-11-28T08:56:00Z</dcterms:created>
  <dcterms:modified xsi:type="dcterms:W3CDTF">2012-11-28T08:56:00Z</dcterms:modified>
</cp:coreProperties>
</file>