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519" w:rsidRPr="00BF3F6F" w:rsidRDefault="00E73519" w:rsidP="00E73519">
      <w:pPr>
        <w:jc w:val="center"/>
        <w:outlineLvl w:val="0"/>
        <w:rPr>
          <w:b/>
          <w:sz w:val="22"/>
          <w:szCs w:val="22"/>
        </w:rPr>
      </w:pPr>
      <w:r w:rsidRPr="003F489A">
        <w:rPr>
          <w:b/>
          <w:sz w:val="22"/>
          <w:szCs w:val="22"/>
          <w:lang w:val="uk-UA"/>
        </w:rPr>
        <w:t>ОБЧИСЛЮВАЛЬНІЙ ПІДХІД ДО ДОСЛІДЖЕННЯ ТЕМПЛАНТ/МОНОМЕРНИХ КОМПЛЕКСІВ МЕЛАМІН ІМПРИНТОВАНИХ ПОЛІМЕРІВ</w:t>
      </w:r>
    </w:p>
    <w:p w:rsidR="00E73519" w:rsidRPr="00BF3F6F" w:rsidRDefault="00E73519" w:rsidP="00E73519">
      <w:pPr>
        <w:jc w:val="center"/>
        <w:outlineLvl w:val="0"/>
        <w:rPr>
          <w:bCs/>
          <w:sz w:val="22"/>
          <w:szCs w:val="22"/>
          <w:lang w:val="uk-UA"/>
        </w:rPr>
      </w:pPr>
      <w:r w:rsidRPr="00BF3F6F">
        <w:rPr>
          <w:bCs/>
          <w:sz w:val="22"/>
          <w:szCs w:val="22"/>
          <w:lang w:val="uk-UA"/>
        </w:rPr>
        <w:t>Музика К.М., Рожицький М.М.</w:t>
      </w:r>
    </w:p>
    <w:p w:rsidR="00E73519" w:rsidRPr="003F489A" w:rsidRDefault="00E73519" w:rsidP="00E73519">
      <w:pPr>
        <w:jc w:val="center"/>
        <w:rPr>
          <w:bCs/>
          <w:sz w:val="22"/>
          <w:szCs w:val="22"/>
          <w:lang w:val="uk-UA"/>
        </w:rPr>
      </w:pPr>
      <w:r w:rsidRPr="003F489A">
        <w:rPr>
          <w:bCs/>
          <w:sz w:val="22"/>
          <w:szCs w:val="22"/>
          <w:lang w:val="uk-UA"/>
        </w:rPr>
        <w:t>Харківський національний університет радіоелектроніки</w:t>
      </w:r>
    </w:p>
    <w:p w:rsidR="00E73519" w:rsidRPr="003F489A" w:rsidRDefault="00E73519" w:rsidP="00E73519">
      <w:pPr>
        <w:jc w:val="center"/>
        <w:rPr>
          <w:bCs/>
          <w:sz w:val="22"/>
          <w:szCs w:val="22"/>
          <w:lang w:val="uk-UA"/>
        </w:rPr>
      </w:pPr>
      <w:r w:rsidRPr="003F489A">
        <w:rPr>
          <w:bCs/>
          <w:sz w:val="22"/>
          <w:szCs w:val="22"/>
          <w:lang w:val="uk-UA"/>
        </w:rPr>
        <w:t>61166, Харків, пр.Леніна, каф. біомедичних електронних пристроїв та систем, лаб. аналітичної оптохемотроніки, тел. (057)7020369</w:t>
      </w:r>
    </w:p>
    <w:p w:rsidR="00E73519" w:rsidRPr="009308AA" w:rsidRDefault="00E73519" w:rsidP="00E73519">
      <w:pPr>
        <w:jc w:val="center"/>
        <w:outlineLvl w:val="0"/>
        <w:rPr>
          <w:bCs/>
          <w:sz w:val="22"/>
          <w:szCs w:val="22"/>
          <w:lang w:val="en-US"/>
        </w:rPr>
      </w:pPr>
      <w:r w:rsidRPr="003F489A">
        <w:rPr>
          <w:bCs/>
          <w:sz w:val="22"/>
          <w:szCs w:val="22"/>
          <w:lang w:val="en-US"/>
        </w:rPr>
        <w:t>E</w:t>
      </w:r>
      <w:r w:rsidRPr="003F489A">
        <w:rPr>
          <w:bCs/>
          <w:sz w:val="22"/>
          <w:szCs w:val="22"/>
          <w:lang w:val="uk-UA"/>
        </w:rPr>
        <w:t>-</w:t>
      </w:r>
      <w:r w:rsidRPr="003F489A">
        <w:rPr>
          <w:bCs/>
          <w:sz w:val="22"/>
          <w:szCs w:val="22"/>
          <w:lang w:val="en-US"/>
        </w:rPr>
        <w:t>mail</w:t>
      </w:r>
      <w:r w:rsidRPr="003F489A">
        <w:rPr>
          <w:bCs/>
          <w:sz w:val="22"/>
          <w:szCs w:val="22"/>
          <w:lang w:val="uk-UA"/>
        </w:rPr>
        <w:t>:</w:t>
      </w:r>
      <w:r w:rsidRPr="009308AA">
        <w:rPr>
          <w:bCs/>
          <w:sz w:val="22"/>
          <w:szCs w:val="22"/>
          <w:lang w:val="uk-UA"/>
        </w:rPr>
        <w:t xml:space="preserve"> </w:t>
      </w:r>
      <w:hyperlink r:id="rId4" w:history="1">
        <w:r w:rsidRPr="0059738E">
          <w:rPr>
            <w:rStyle w:val="a3"/>
            <w:bCs/>
            <w:sz w:val="22"/>
            <w:szCs w:val="22"/>
            <w:lang w:val="en-US"/>
          </w:rPr>
          <w:t>mkm</w:t>
        </w:r>
        <w:r w:rsidRPr="0059738E">
          <w:rPr>
            <w:rStyle w:val="a3"/>
            <w:bCs/>
            <w:sz w:val="22"/>
            <w:szCs w:val="22"/>
            <w:lang w:val="uk-UA"/>
          </w:rPr>
          <w:t>@</w:t>
        </w:r>
        <w:r w:rsidRPr="0059738E">
          <w:rPr>
            <w:rStyle w:val="a3"/>
            <w:bCs/>
            <w:sz w:val="22"/>
            <w:szCs w:val="22"/>
            <w:lang w:val="en-US"/>
          </w:rPr>
          <w:t>kture</w:t>
        </w:r>
        <w:r w:rsidRPr="0059738E">
          <w:rPr>
            <w:rStyle w:val="a3"/>
            <w:bCs/>
            <w:sz w:val="22"/>
            <w:szCs w:val="22"/>
            <w:lang w:val="uk-UA"/>
          </w:rPr>
          <w:t>.</w:t>
        </w:r>
        <w:r w:rsidRPr="0059738E">
          <w:rPr>
            <w:rStyle w:val="a3"/>
            <w:bCs/>
            <w:sz w:val="22"/>
            <w:szCs w:val="22"/>
            <w:lang w:val="en-US"/>
          </w:rPr>
          <w:t>kharkov</w:t>
        </w:r>
        <w:r w:rsidRPr="0059738E">
          <w:rPr>
            <w:rStyle w:val="a3"/>
            <w:bCs/>
            <w:sz w:val="22"/>
            <w:szCs w:val="22"/>
            <w:lang w:val="uk-UA"/>
          </w:rPr>
          <w:t>.</w:t>
        </w:r>
        <w:r w:rsidRPr="0059738E">
          <w:rPr>
            <w:rStyle w:val="a3"/>
            <w:bCs/>
            <w:sz w:val="22"/>
            <w:szCs w:val="22"/>
            <w:lang w:val="en-US"/>
          </w:rPr>
          <w:t>ua</w:t>
        </w:r>
      </w:hyperlink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en-US"/>
        </w:rPr>
      </w:pPr>
      <w:r w:rsidRPr="003F489A">
        <w:rPr>
          <w:sz w:val="22"/>
          <w:szCs w:val="22"/>
          <w:lang w:val="en-US"/>
        </w:rPr>
        <w:t>In this work a computational approach to investigation of template/monome</w:t>
      </w:r>
      <w:r>
        <w:rPr>
          <w:sz w:val="22"/>
          <w:szCs w:val="22"/>
          <w:lang w:val="en-US"/>
        </w:rPr>
        <w:t>r complex in imprinted polymers</w:t>
      </w:r>
      <w:r w:rsidRPr="003F489A">
        <w:rPr>
          <w:sz w:val="22"/>
          <w:szCs w:val="22"/>
          <w:lang w:val="en-US"/>
        </w:rPr>
        <w:t xml:space="preserve"> enable us to select monomers interacting strongly with the melamine as target analyte. The molecular modeling and performing thermodynamic computations were carried out with the help of a patented protocol developed at </w:t>
      </w:r>
      <w:smartTag w:uri="urn:schemas-microsoft-com:office:smarttags" w:element="place">
        <w:smartTag w:uri="urn:schemas-microsoft-com:office:smarttags" w:element="City">
          <w:r w:rsidRPr="003F489A">
            <w:rPr>
              <w:sz w:val="22"/>
              <w:szCs w:val="22"/>
              <w:lang w:val="en-US"/>
            </w:rPr>
            <w:t>Cranfield University</w:t>
          </w:r>
        </w:smartTag>
        <w:r w:rsidRPr="003F489A">
          <w:rPr>
            <w:sz w:val="22"/>
            <w:szCs w:val="22"/>
            <w:lang w:val="en-US"/>
          </w:rPr>
          <w:t xml:space="preserve">, </w:t>
        </w:r>
        <w:smartTag w:uri="urn:schemas-microsoft-com:office:smarttags" w:element="country-region">
          <w:r w:rsidRPr="003F489A">
            <w:rPr>
              <w:sz w:val="22"/>
              <w:szCs w:val="22"/>
              <w:lang w:val="en-US"/>
            </w:rPr>
            <w:t>UK</w:t>
          </w:r>
        </w:smartTag>
      </w:smartTag>
      <w:r w:rsidRPr="003F489A">
        <w:rPr>
          <w:sz w:val="22"/>
          <w:szCs w:val="22"/>
          <w:lang w:val="en-US"/>
        </w:rPr>
        <w:t>. The binding energies shows the acrylamido-2-methyl-1-propanesulfonic acid (AMPSA) is the best binding monomer for melamine followed by itaconic acid and F22 ethylene glycol methacrylate phosphate (EGMP).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en-US"/>
        </w:rPr>
      </w:pPr>
      <w:r w:rsidRPr="003F489A">
        <w:rPr>
          <w:b/>
          <w:sz w:val="22"/>
          <w:szCs w:val="22"/>
          <w:lang w:val="en-US"/>
        </w:rPr>
        <w:t>Keywords:</w:t>
      </w:r>
      <w:r w:rsidRPr="003F489A">
        <w:rPr>
          <w:sz w:val="22"/>
          <w:szCs w:val="22"/>
          <w:lang w:val="en-US"/>
        </w:rPr>
        <w:t xml:space="preserve"> Molecular imprint polymer, melamine, AMPSA, binding energy, SYBYL 7.3, LEAPFROGTM algorithm.</w:t>
      </w:r>
    </w:p>
    <w:p w:rsidR="00E73519" w:rsidRPr="003F489A" w:rsidRDefault="00E73519" w:rsidP="00E73519">
      <w:pPr>
        <w:ind w:firstLine="567"/>
        <w:rPr>
          <w:lang w:val="en-US"/>
        </w:rPr>
      </w:pPr>
    </w:p>
    <w:p w:rsidR="00E73519" w:rsidRPr="003F489A" w:rsidRDefault="00E73519" w:rsidP="00E73519">
      <w:pPr>
        <w:autoSpaceDE w:val="0"/>
        <w:autoSpaceDN w:val="0"/>
        <w:adjustRightInd w:val="0"/>
        <w:ind w:firstLine="540"/>
        <w:jc w:val="both"/>
        <w:rPr>
          <w:rFonts w:ascii="TimesNewRomanPSMT" w:hAnsi="TimesNewRomanPSMT" w:cs="TimesNewRomanPSMT"/>
          <w:color w:val="231F20"/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Розробка та дослідження сенсорних властивостей нових наноматеріалів, які можуть суттєво покращити аналітичні властивості сенсорів, а саме підвищити їх селективність та чутливість, є актуальним завданням, вирішення якого лежить на перетині різних наук. Часто нові відкриття у науці відбуваються після проведення аналогії з тим, що вже створено природою. Наприклад, багато біохімічних процесів протікає з утворенням комплексів біологічно активних речовин різної природи, </w:t>
      </w:r>
      <w:r>
        <w:rPr>
          <w:sz w:val="22"/>
          <w:szCs w:val="22"/>
          <w:lang w:val="uk-UA"/>
        </w:rPr>
        <w:t xml:space="preserve">багато з яких мають властивості </w:t>
      </w:r>
      <w:r w:rsidRPr="003F489A">
        <w:rPr>
          <w:sz w:val="22"/>
          <w:szCs w:val="22"/>
          <w:lang w:val="uk-UA"/>
        </w:rPr>
        <w:t xml:space="preserve">лігандів, зі специфічними рецепторами. На ліганд-рецепторній взаємодії засновані ферментативні реакції, внутрішньоклітинний транспорт, регуляція клітинної активності та ін. Взаємодія антитіло-антиген також можна розглядати як різновид реакції лігандів з макромолекулярними рецепторами. Хоча в багатьох випадках природні рецептори взаємодіють із лігандами з високою спорідненістю, в нефізіологічних умовах вони вкрай нестабільні, а можливості їх отримання в великих кількостях часто обмежені. Крім того, далеко не всі молекули мають свої природні рецептори, тому представляє інтерес створити штучні рецептори, елементи сенсорних покриттів, здатних до розпізнавання і зв'язування </w:t>
      </w:r>
      <w:r w:rsidRPr="003F489A">
        <w:rPr>
          <w:rFonts w:ascii="TimesNewRomanPSMT" w:hAnsi="TimesNewRomanPSMT" w:cs="TimesNewRomanPSMT"/>
          <w:color w:val="231F20"/>
          <w:sz w:val="22"/>
          <w:szCs w:val="22"/>
          <w:lang w:val="uk-UA"/>
        </w:rPr>
        <w:t>різноманітних молекул-мішеней із високою афінністю і специфічністю.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Одним зі шляхів створення штучних макромолекулярних рецепторів є отримання молекулярних відбитків різних сполук на полімерній матриці – технологія молекулярного імпринтингу [1], загальна схема якої зображена на рис.1.</w:t>
      </w:r>
    </w:p>
    <w:p w:rsidR="00E73519" w:rsidRPr="003F489A" w:rsidRDefault="00E73519" w:rsidP="00E73519">
      <w:pPr>
        <w:ind w:firstLine="567"/>
        <w:jc w:val="center"/>
        <w:rPr>
          <w:sz w:val="22"/>
          <w:szCs w:val="22"/>
          <w:lang w:val="uk-UA"/>
        </w:rPr>
      </w:pPr>
      <w:r>
        <w:rPr>
          <w:noProof/>
          <w:sz w:val="22"/>
          <w:szCs w:val="22"/>
        </w:rPr>
        <w:drawing>
          <wp:inline distT="0" distB="0" distL="0" distR="0">
            <wp:extent cx="4335145" cy="2453005"/>
            <wp:effectExtent l="1905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514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519" w:rsidRPr="003F489A" w:rsidRDefault="00E73519" w:rsidP="00E73519">
      <w:pPr>
        <w:ind w:firstLine="567"/>
        <w:jc w:val="center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Рис. 1 – Загальна схема технології молекулярного імпринтингу</w:t>
      </w:r>
    </w:p>
    <w:p w:rsidR="00E73519" w:rsidRDefault="00E73519" w:rsidP="00E73519">
      <w:pPr>
        <w:ind w:firstLine="567"/>
        <w:jc w:val="both"/>
        <w:rPr>
          <w:sz w:val="22"/>
          <w:szCs w:val="22"/>
          <w:lang w:val="uk-UA"/>
        </w:rPr>
      </w:pP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Надзвичайна привабливість</w:t>
      </w:r>
      <w:r>
        <w:rPr>
          <w:sz w:val="22"/>
          <w:szCs w:val="22"/>
          <w:lang w:val="uk-UA"/>
        </w:rPr>
        <w:t xml:space="preserve"> молекулярно </w:t>
      </w:r>
      <w:r w:rsidRPr="003F489A">
        <w:rPr>
          <w:sz w:val="22"/>
          <w:szCs w:val="22"/>
          <w:lang w:val="uk-UA"/>
        </w:rPr>
        <w:t xml:space="preserve">імпринтованих полімерів </w:t>
      </w:r>
      <w:r>
        <w:rPr>
          <w:sz w:val="22"/>
          <w:szCs w:val="22"/>
          <w:lang w:val="uk-UA"/>
        </w:rPr>
        <w:t xml:space="preserve">(МІП) </w:t>
      </w:r>
      <w:r w:rsidRPr="003F489A">
        <w:rPr>
          <w:sz w:val="22"/>
          <w:szCs w:val="22"/>
          <w:lang w:val="uk-UA"/>
        </w:rPr>
        <w:t>для практичного використання (зокрема, при створенні хімічних сенсорів) обумовлена вкрай високою стабільністю, простотою отримання, співставною з природними рецепторами афінністю, і селективністю.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Вперше про явище молекулярного імпринтигу було повідомлено вченим з </w:t>
      </w:r>
      <w:r>
        <w:rPr>
          <w:sz w:val="22"/>
          <w:szCs w:val="22"/>
          <w:lang w:val="uk-UA"/>
        </w:rPr>
        <w:t>України</w:t>
      </w:r>
      <w:r w:rsidRPr="003F489A">
        <w:rPr>
          <w:sz w:val="22"/>
          <w:szCs w:val="22"/>
          <w:lang w:val="uk-UA"/>
        </w:rPr>
        <w:t>, Поляковим, у 1931 р. [2]. Інтерес до застосування технології молекулярного імпринтингу в електрохімічних (ЕХ) сенсорах виник наприкінці 90-х років ХХ сторіччя [3</w:t>
      </w:r>
      <w:r>
        <w:rPr>
          <w:sz w:val="22"/>
          <w:szCs w:val="22"/>
          <w:lang w:val="uk-UA"/>
        </w:rPr>
        <w:t xml:space="preserve">] і активно прогресує і </w:t>
      </w:r>
      <w:r>
        <w:rPr>
          <w:sz w:val="22"/>
          <w:szCs w:val="22"/>
          <w:lang w:val="uk-UA"/>
        </w:rPr>
        <w:lastRenderedPageBreak/>
        <w:t>дотепер</w:t>
      </w:r>
      <w:r w:rsidRPr="003F489A">
        <w:rPr>
          <w:sz w:val="22"/>
          <w:szCs w:val="22"/>
          <w:lang w:val="uk-UA"/>
        </w:rPr>
        <w:t>. Лідерами за кількістю публікацій у</w:t>
      </w:r>
      <w:r>
        <w:rPr>
          <w:sz w:val="22"/>
          <w:szCs w:val="22"/>
          <w:lang w:val="uk-UA"/>
        </w:rPr>
        <w:t xml:space="preserve"> даній області є Китай та Індія</w:t>
      </w:r>
      <w:r w:rsidRPr="003F489A">
        <w:rPr>
          <w:sz w:val="22"/>
          <w:szCs w:val="22"/>
          <w:lang w:val="uk-UA"/>
        </w:rPr>
        <w:t xml:space="preserve">. В Україні роботи в даній області дослідження, на жаль, поки є одиничними. 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У даній публікації запропоновано обчислювальній підхід до дослідження темплант/мономерних комплексів меламін імпринтованих полімерів. Потенційно щоденне вживання протягом тривалого часу їжі, що містить меламін, або – з меламінового посуду може призвести до отруєння. Симптоматика отруєння меламіном – блювота після вживання, загальна млявість, надмірне вживання води. В реакції з циануровою кислотою меламін утворює цианурат меламіну, який було знайдено в експортованих з Китаю харчових продуктах. Скандал з меламіном у Китаї почався з молочної промисловості – четверо немовлят загинули і 20 тисяч дітей потрапили до лікарень внаслідок того, що хімікат додавали до молочних сумішей; [</w:t>
      </w:r>
      <w:r w:rsidRPr="003F489A">
        <w:rPr>
          <w:sz w:val="22"/>
          <w:szCs w:val="22"/>
        </w:rPr>
        <w:t>4</w:t>
      </w:r>
      <w:r w:rsidRPr="003F489A">
        <w:rPr>
          <w:sz w:val="22"/>
          <w:szCs w:val="22"/>
          <w:lang w:val="uk-UA"/>
        </w:rPr>
        <w:t>] було виявлено, що система безпеки харчової промисловості Китаю абсолютно не відповідає стандартам – за даними китайських державних засобів інформації промисловий хімікат меламін до білкового корму для тварин додавався постійно.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Для того щоб отримати матеріал з дуже високою спорідненістю, повинні бути </w:t>
      </w:r>
      <w:r>
        <w:rPr>
          <w:sz w:val="22"/>
          <w:szCs w:val="22"/>
          <w:lang w:val="uk-UA"/>
        </w:rPr>
        <w:t>о</w:t>
      </w:r>
      <w:r w:rsidRPr="003F489A">
        <w:rPr>
          <w:sz w:val="22"/>
          <w:szCs w:val="22"/>
          <w:lang w:val="uk-UA"/>
        </w:rPr>
        <w:t>брані функціональні мономери, які б утворювали дуже міцні комплекси з цільовим аналітом. У даній роботі за допомогою комп'ютерного моделювання ми досліджували взаємодію меламіну з різними мономерами з віртуальної бібліотеки. Мономери, які найсильніше взаємодіяли з меламіном були відібрані як найкращі кандидати для розробки синтетичних рецепторів на меламін. Протокол молекулярного модулювання був розроблений і запатентований Кранфілдським університетом [</w:t>
      </w:r>
      <w:r w:rsidRPr="00BF4776">
        <w:rPr>
          <w:sz w:val="22"/>
          <w:szCs w:val="22"/>
        </w:rPr>
        <w:t>5</w:t>
      </w:r>
      <w:r w:rsidRPr="003F489A">
        <w:rPr>
          <w:sz w:val="22"/>
          <w:szCs w:val="22"/>
          <w:lang w:val="uk-UA"/>
        </w:rPr>
        <w:t xml:space="preserve">]. </w:t>
      </w:r>
    </w:p>
    <w:p w:rsidR="00E73519" w:rsidRPr="003F489A" w:rsidRDefault="00E73519" w:rsidP="00E73519">
      <w:pPr>
        <w:spacing w:line="264" w:lineRule="auto"/>
        <w:ind w:firstLine="360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Розрахунки проводились на ПК з операційною системою </w:t>
      </w:r>
      <w:r w:rsidRPr="003F489A">
        <w:rPr>
          <w:sz w:val="22"/>
          <w:szCs w:val="22"/>
          <w:lang w:val="es-ES"/>
        </w:rPr>
        <w:t>Linux</w:t>
      </w:r>
      <w:r w:rsidRPr="003F489A">
        <w:rPr>
          <w:sz w:val="22"/>
          <w:szCs w:val="22"/>
          <w:lang w:val="uk-UA"/>
        </w:rPr>
        <w:t xml:space="preserve"> у пакеті </w:t>
      </w:r>
      <w:r w:rsidRPr="003F489A">
        <w:rPr>
          <w:sz w:val="22"/>
          <w:szCs w:val="22"/>
          <w:lang w:val="es-ES"/>
        </w:rPr>
        <w:t>SYBYL</w:t>
      </w:r>
      <w:r w:rsidRPr="003F489A">
        <w:rPr>
          <w:sz w:val="22"/>
          <w:szCs w:val="22"/>
          <w:lang w:val="uk-UA"/>
        </w:rPr>
        <w:t xml:space="preserve"> 7.3 (</w:t>
      </w:r>
      <w:r w:rsidRPr="003F489A">
        <w:rPr>
          <w:sz w:val="22"/>
          <w:szCs w:val="22"/>
          <w:lang w:val="es-ES"/>
        </w:rPr>
        <w:t>Tripos</w:t>
      </w:r>
      <w:r w:rsidRPr="003F489A">
        <w:rPr>
          <w:sz w:val="22"/>
          <w:szCs w:val="22"/>
          <w:lang w:val="uk-UA"/>
        </w:rPr>
        <w:t> </w:t>
      </w:r>
      <w:r w:rsidRPr="003F489A">
        <w:rPr>
          <w:sz w:val="22"/>
          <w:szCs w:val="22"/>
          <w:lang w:val="es-ES"/>
        </w:rPr>
        <w:t>Inc</w:t>
      </w:r>
      <w:r w:rsidRPr="003F489A">
        <w:rPr>
          <w:sz w:val="22"/>
          <w:szCs w:val="22"/>
          <w:lang w:val="uk-UA"/>
        </w:rPr>
        <w:t>)</w:t>
      </w:r>
      <w:r w:rsidRPr="003F489A">
        <w:rPr>
          <w:sz w:val="22"/>
          <w:szCs w:val="22"/>
          <w:lang w:val="es-ES"/>
        </w:rPr>
        <w:t xml:space="preserve"> [6]</w:t>
      </w:r>
      <w:r w:rsidRPr="003F489A">
        <w:rPr>
          <w:sz w:val="22"/>
          <w:szCs w:val="22"/>
          <w:lang w:val="uk-UA"/>
        </w:rPr>
        <w:t xml:space="preserve">. Протокол розрахунку включав </w:t>
      </w:r>
      <w:r w:rsidRPr="003F489A">
        <w:rPr>
          <w:sz w:val="22"/>
          <w:szCs w:val="22"/>
        </w:rPr>
        <w:t xml:space="preserve">4 </w:t>
      </w:r>
      <w:r w:rsidRPr="003F489A">
        <w:rPr>
          <w:sz w:val="22"/>
          <w:szCs w:val="22"/>
          <w:lang w:val="uk-UA"/>
        </w:rPr>
        <w:t>кроки:</w:t>
      </w:r>
    </w:p>
    <w:p w:rsidR="00E73519" w:rsidRPr="003F489A" w:rsidRDefault="00E73519" w:rsidP="00E73519">
      <w:pPr>
        <w:spacing w:line="264" w:lineRule="auto"/>
        <w:ind w:firstLine="360"/>
        <w:jc w:val="both"/>
        <w:rPr>
          <w:sz w:val="22"/>
          <w:szCs w:val="22"/>
        </w:rPr>
      </w:pPr>
      <w:r w:rsidRPr="003F489A">
        <w:rPr>
          <w:sz w:val="22"/>
          <w:szCs w:val="22"/>
        </w:rPr>
        <w:t xml:space="preserve">1. </w:t>
      </w:r>
      <w:r w:rsidRPr="003F489A">
        <w:rPr>
          <w:sz w:val="22"/>
          <w:szCs w:val="22"/>
          <w:lang w:val="uk-UA"/>
        </w:rPr>
        <w:t>Розробка бази даних функціональних мономерів.</w:t>
      </w:r>
    </w:p>
    <w:p w:rsidR="00E73519" w:rsidRPr="003F489A" w:rsidRDefault="00E73519" w:rsidP="00E73519">
      <w:pPr>
        <w:spacing w:line="264" w:lineRule="auto"/>
        <w:ind w:firstLine="360"/>
        <w:jc w:val="both"/>
        <w:rPr>
          <w:sz w:val="22"/>
          <w:szCs w:val="22"/>
        </w:rPr>
      </w:pPr>
      <w:r w:rsidRPr="003F489A">
        <w:rPr>
          <w:sz w:val="22"/>
          <w:szCs w:val="22"/>
        </w:rPr>
        <w:t xml:space="preserve">2. </w:t>
      </w:r>
      <w:r w:rsidRPr="003F489A">
        <w:rPr>
          <w:sz w:val="22"/>
          <w:szCs w:val="22"/>
          <w:lang w:val="uk-UA"/>
        </w:rPr>
        <w:t>Розробка молекулярної моделі темпланту.</w:t>
      </w:r>
    </w:p>
    <w:p w:rsidR="00E73519" w:rsidRPr="003F489A" w:rsidRDefault="00E73519" w:rsidP="00E73519">
      <w:pPr>
        <w:spacing w:line="264" w:lineRule="auto"/>
        <w:ind w:firstLine="360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</w:rPr>
        <w:t xml:space="preserve">3. </w:t>
      </w:r>
      <w:r w:rsidRPr="003F489A">
        <w:rPr>
          <w:sz w:val="22"/>
          <w:szCs w:val="22"/>
          <w:lang w:val="uk-UA"/>
        </w:rPr>
        <w:t xml:space="preserve">Скринінг з використанням алгоритму </w:t>
      </w:r>
      <w:r w:rsidRPr="003F489A">
        <w:rPr>
          <w:sz w:val="22"/>
          <w:szCs w:val="22"/>
          <w:lang w:val="en-US"/>
        </w:rPr>
        <w:t>LEAPFROG</w:t>
      </w:r>
      <w:r w:rsidRPr="005C61FB">
        <w:rPr>
          <w:sz w:val="22"/>
          <w:szCs w:val="22"/>
          <w:vertAlign w:val="superscript"/>
          <w:lang w:val="en-US"/>
        </w:rPr>
        <w:t>TM</w:t>
      </w:r>
      <w:r w:rsidRPr="003F489A">
        <w:rPr>
          <w:sz w:val="22"/>
          <w:szCs w:val="22"/>
          <w:lang w:val="uk-UA"/>
        </w:rPr>
        <w:t>.</w:t>
      </w:r>
    </w:p>
    <w:p w:rsidR="00E73519" w:rsidRPr="003F489A" w:rsidRDefault="00E73519" w:rsidP="00E73519">
      <w:pPr>
        <w:spacing w:line="264" w:lineRule="auto"/>
        <w:ind w:firstLine="360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4. Проведення моделювання, використовуючи методи молекулярної механіки і молекулярної динаміки.</w:t>
      </w:r>
    </w:p>
    <w:p w:rsidR="00E73519" w:rsidRPr="003F489A" w:rsidRDefault="00E73519" w:rsidP="00E73519">
      <w:pPr>
        <w:spacing w:line="264" w:lineRule="auto"/>
        <w:ind w:firstLine="360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Перші три кроки направлені на ідентифікацію найкращого мономеру(ів) для приготування полімерів у даному розчиннику. Крок 4 </w:t>
      </w:r>
      <w:r>
        <w:rPr>
          <w:sz w:val="22"/>
          <w:szCs w:val="22"/>
          <w:lang w:val="uk-UA"/>
        </w:rPr>
        <w:t xml:space="preserve">призводить до </w:t>
      </w:r>
      <w:r w:rsidRPr="003F489A">
        <w:rPr>
          <w:sz w:val="22"/>
          <w:szCs w:val="22"/>
          <w:lang w:val="uk-UA"/>
        </w:rPr>
        <w:t>ідентифікаці</w:t>
      </w:r>
      <w:r>
        <w:rPr>
          <w:sz w:val="22"/>
          <w:szCs w:val="22"/>
          <w:lang w:val="uk-UA"/>
        </w:rPr>
        <w:t>ї</w:t>
      </w:r>
      <w:r w:rsidRPr="003F489A">
        <w:rPr>
          <w:sz w:val="22"/>
          <w:szCs w:val="22"/>
          <w:lang w:val="uk-UA"/>
        </w:rPr>
        <w:t xml:space="preserve"> оптимального співвідношення мономер-темплант, що використовується для розробки імпринтованого полімеру. </w:t>
      </w:r>
    </w:p>
    <w:p w:rsidR="00E73519" w:rsidRPr="00BF4776" w:rsidRDefault="00E73519" w:rsidP="00E73519">
      <w:pPr>
        <w:spacing w:line="264" w:lineRule="auto"/>
        <w:ind w:firstLine="360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Утворення передполімеризаційних комплексів шаблон–мономер і вторинна взаємодія шаблона с МІПом забезпечують нековалентні чи ковалентні зв'язки. До типових видів </w:t>
      </w:r>
      <w:r w:rsidRPr="00BF4776">
        <w:rPr>
          <w:sz w:val="22"/>
          <w:szCs w:val="22"/>
          <w:lang w:val="uk-UA"/>
        </w:rPr>
        <w:t xml:space="preserve">нековалентного </w:t>
      </w:r>
      <w:r w:rsidRPr="003F489A">
        <w:rPr>
          <w:sz w:val="22"/>
          <w:szCs w:val="22"/>
          <w:lang w:val="uk-UA"/>
        </w:rPr>
        <w:t>зв'язку від</w:t>
      </w:r>
      <w:r w:rsidRPr="00BF4776">
        <w:rPr>
          <w:sz w:val="22"/>
          <w:szCs w:val="22"/>
          <w:lang w:val="uk-UA"/>
        </w:rPr>
        <w:t>носят</w:t>
      </w:r>
      <w:r w:rsidRPr="003F489A">
        <w:rPr>
          <w:sz w:val="22"/>
          <w:szCs w:val="22"/>
          <w:lang w:val="uk-UA"/>
        </w:rPr>
        <w:t>ь</w:t>
      </w:r>
      <w:r w:rsidRPr="00BF4776">
        <w:rPr>
          <w:sz w:val="22"/>
          <w:szCs w:val="22"/>
          <w:lang w:val="uk-UA"/>
        </w:rPr>
        <w:t xml:space="preserve">ся </w:t>
      </w:r>
      <w:r w:rsidRPr="003F489A">
        <w:rPr>
          <w:sz w:val="22"/>
          <w:szCs w:val="22"/>
          <w:lang w:val="uk-UA"/>
        </w:rPr>
        <w:t>водневі та іонні зв'язки</w:t>
      </w:r>
      <w:r w:rsidRPr="00BF4776">
        <w:rPr>
          <w:sz w:val="22"/>
          <w:szCs w:val="22"/>
          <w:lang w:val="uk-UA"/>
        </w:rPr>
        <w:t xml:space="preserve">, </w:t>
      </w:r>
      <w:r w:rsidRPr="003F489A">
        <w:rPr>
          <w:sz w:val="22"/>
          <w:szCs w:val="22"/>
          <w:lang w:val="uk-UA"/>
        </w:rPr>
        <w:t xml:space="preserve">гідрофобні і </w:t>
      </w:r>
      <w:r w:rsidRPr="003F489A">
        <w:rPr>
          <w:sz w:val="22"/>
          <w:szCs w:val="22"/>
        </w:rPr>
        <w:t>π</w:t>
      </w:r>
      <w:r w:rsidRPr="00BF4776">
        <w:rPr>
          <w:sz w:val="22"/>
          <w:szCs w:val="22"/>
          <w:lang w:val="uk-UA"/>
        </w:rPr>
        <w:t>–</w:t>
      </w:r>
      <w:r w:rsidRPr="003F489A">
        <w:rPr>
          <w:sz w:val="22"/>
          <w:szCs w:val="22"/>
        </w:rPr>
        <w:t>π</w:t>
      </w:r>
      <w:r w:rsidRPr="00BF4776">
        <w:rPr>
          <w:sz w:val="22"/>
          <w:szCs w:val="22"/>
          <w:lang w:val="uk-UA"/>
        </w:rPr>
        <w:t xml:space="preserve"> </w:t>
      </w:r>
      <w:r w:rsidRPr="003F489A">
        <w:rPr>
          <w:sz w:val="22"/>
          <w:szCs w:val="22"/>
          <w:lang w:val="uk-UA"/>
        </w:rPr>
        <w:t>взаємодії</w:t>
      </w:r>
      <w:r w:rsidRPr="00BF4776">
        <w:rPr>
          <w:sz w:val="22"/>
          <w:szCs w:val="22"/>
          <w:lang w:val="uk-UA"/>
        </w:rPr>
        <w:t>, сил</w:t>
      </w:r>
      <w:r w:rsidRPr="003F489A">
        <w:rPr>
          <w:sz w:val="22"/>
          <w:szCs w:val="22"/>
          <w:lang w:val="uk-UA"/>
        </w:rPr>
        <w:t>и</w:t>
      </w:r>
      <w:r w:rsidRPr="00BF4776">
        <w:rPr>
          <w:sz w:val="22"/>
          <w:szCs w:val="22"/>
          <w:lang w:val="uk-UA"/>
        </w:rPr>
        <w:t xml:space="preserve"> Ван-дер-Ваальса </w:t>
      </w:r>
      <w:r w:rsidRPr="003F489A">
        <w:rPr>
          <w:sz w:val="22"/>
          <w:szCs w:val="22"/>
          <w:lang w:val="uk-UA"/>
        </w:rPr>
        <w:t>тощо.</w:t>
      </w:r>
    </w:p>
    <w:p w:rsidR="00E73519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На рис. </w:t>
      </w:r>
      <w:r>
        <w:rPr>
          <w:sz w:val="22"/>
          <w:szCs w:val="22"/>
          <w:lang w:val="uk-UA"/>
        </w:rPr>
        <w:t>2</w:t>
      </w:r>
      <w:r w:rsidRPr="003F489A">
        <w:rPr>
          <w:sz w:val="22"/>
          <w:szCs w:val="22"/>
          <w:lang w:val="uk-UA"/>
        </w:rPr>
        <w:t xml:space="preserve"> показані результати взаємодії меламіну з мономерами. При розрахунку програма використовувала до 60 000 ітерацій. 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Мономери, які стали найкращими кандидатами для розробки МІП на меламін з відповідними енергіями взаємодії, представлені в таблиці 1.</w:t>
      </w:r>
    </w:p>
    <w:p w:rsidR="00E73519" w:rsidRDefault="00E73519" w:rsidP="00E73519">
      <w:pPr>
        <w:spacing w:line="264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2980055" cy="194691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055" cy="1946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519" w:rsidRPr="000269EB" w:rsidRDefault="00E73519" w:rsidP="00E73519">
      <w:pPr>
        <w:spacing w:line="264" w:lineRule="auto"/>
        <w:jc w:val="center"/>
        <w:rPr>
          <w:sz w:val="22"/>
          <w:szCs w:val="22"/>
        </w:rPr>
      </w:pPr>
      <w:r>
        <w:rPr>
          <w:sz w:val="22"/>
          <w:szCs w:val="22"/>
        </w:rPr>
        <w:t>а</w:t>
      </w:r>
    </w:p>
    <w:p w:rsidR="00E73519" w:rsidRDefault="00E73519" w:rsidP="00E73519">
      <w:pPr>
        <w:spacing w:line="264" w:lineRule="auto"/>
        <w:jc w:val="center"/>
        <w:rPr>
          <w:sz w:val="20"/>
          <w:szCs w:val="20"/>
          <w:lang w:val="en-US"/>
        </w:rPr>
      </w:pPr>
      <w:r>
        <w:rPr>
          <w:noProof/>
          <w:sz w:val="20"/>
          <w:szCs w:val="20"/>
        </w:rPr>
        <w:lastRenderedPageBreak/>
        <w:drawing>
          <wp:inline distT="0" distB="0" distL="0" distR="0">
            <wp:extent cx="2646680" cy="3076575"/>
            <wp:effectExtent l="19050" t="0" r="127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680" cy="307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519" w:rsidRDefault="00E73519" w:rsidP="00E73519">
      <w:pPr>
        <w:ind w:firstLine="567"/>
        <w:jc w:val="center"/>
        <w:rPr>
          <w:sz w:val="20"/>
          <w:szCs w:val="20"/>
        </w:rPr>
      </w:pPr>
      <w:r>
        <w:rPr>
          <w:sz w:val="20"/>
          <w:szCs w:val="20"/>
        </w:rPr>
        <w:t>б</w:t>
      </w:r>
    </w:p>
    <w:p w:rsidR="00E73519" w:rsidRDefault="00E73519" w:rsidP="00E73519">
      <w:pPr>
        <w:ind w:firstLine="567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2797175" cy="246380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7175" cy="2463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3519" w:rsidRPr="000269EB" w:rsidRDefault="00E73519" w:rsidP="00E73519">
      <w:pPr>
        <w:ind w:firstLine="567"/>
        <w:jc w:val="center"/>
        <w:rPr>
          <w:sz w:val="22"/>
          <w:szCs w:val="22"/>
        </w:rPr>
      </w:pPr>
      <w:r>
        <w:rPr>
          <w:sz w:val="20"/>
          <w:szCs w:val="20"/>
        </w:rPr>
        <w:t>в</w:t>
      </w:r>
    </w:p>
    <w:p w:rsidR="00E73519" w:rsidRPr="00AA25B8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Рисунок </w:t>
      </w:r>
      <w:r>
        <w:rPr>
          <w:sz w:val="22"/>
          <w:szCs w:val="22"/>
          <w:lang w:val="uk-UA"/>
        </w:rPr>
        <w:t>2</w:t>
      </w:r>
      <w:r w:rsidRPr="000269EB">
        <w:rPr>
          <w:sz w:val="22"/>
          <w:szCs w:val="22"/>
        </w:rPr>
        <w:t xml:space="preserve">. </w:t>
      </w:r>
      <w:r w:rsidRPr="003F489A">
        <w:rPr>
          <w:sz w:val="22"/>
          <w:szCs w:val="22"/>
          <w:lang w:val="uk-UA"/>
        </w:rPr>
        <w:t xml:space="preserve">Передполімеризаційні комплекси меламінау з мономерами: </w:t>
      </w:r>
      <w:r>
        <w:rPr>
          <w:sz w:val="22"/>
          <w:szCs w:val="22"/>
          <w:lang w:val="uk-UA"/>
        </w:rPr>
        <w:t>а –</w:t>
      </w:r>
      <w:r w:rsidRPr="003F489A">
        <w:rPr>
          <w:sz w:val="22"/>
          <w:szCs w:val="22"/>
        </w:rPr>
        <w:t>акриламідо-2-метил-1-пропансульфонова кислот</w:t>
      </w:r>
      <w:r w:rsidRPr="003F489A">
        <w:rPr>
          <w:sz w:val="22"/>
          <w:szCs w:val="22"/>
          <w:lang w:val="uk-UA"/>
        </w:rPr>
        <w:t>ою</w:t>
      </w:r>
      <w:r>
        <w:rPr>
          <w:sz w:val="22"/>
          <w:szCs w:val="22"/>
          <w:lang w:val="uk-UA"/>
        </w:rPr>
        <w:t xml:space="preserve"> (</w:t>
      </w:r>
      <w:r w:rsidRPr="003F489A">
        <w:rPr>
          <w:sz w:val="22"/>
          <w:szCs w:val="22"/>
          <w:lang w:val="en-US"/>
        </w:rPr>
        <w:t>AMPSA</w:t>
      </w:r>
      <w:r>
        <w:rPr>
          <w:sz w:val="22"/>
          <w:szCs w:val="22"/>
          <w:lang w:val="uk-UA"/>
        </w:rPr>
        <w:t>)</w:t>
      </w:r>
      <w:r w:rsidRPr="003F489A">
        <w:rPr>
          <w:sz w:val="22"/>
          <w:szCs w:val="22"/>
          <w:lang w:val="uk-UA"/>
        </w:rPr>
        <w:t xml:space="preserve">; </w:t>
      </w:r>
      <w:r>
        <w:rPr>
          <w:sz w:val="22"/>
          <w:szCs w:val="22"/>
          <w:lang w:val="uk-UA"/>
        </w:rPr>
        <w:t>б –</w:t>
      </w:r>
      <w:r w:rsidRPr="003F489A">
        <w:rPr>
          <w:sz w:val="22"/>
          <w:szCs w:val="22"/>
          <w:lang w:val="uk-UA"/>
        </w:rPr>
        <w:t xml:space="preserve"> ітаконовою кислотою, </w:t>
      </w:r>
      <w:r>
        <w:rPr>
          <w:sz w:val="22"/>
          <w:szCs w:val="22"/>
          <w:lang w:val="uk-UA"/>
        </w:rPr>
        <w:t>в –</w:t>
      </w:r>
      <w:r w:rsidRPr="003F489A">
        <w:rPr>
          <w:sz w:val="22"/>
          <w:szCs w:val="22"/>
          <w:lang w:val="uk-UA"/>
        </w:rPr>
        <w:t xml:space="preserve"> етиленгліколь метакрилат фосфатом</w:t>
      </w:r>
      <w:r>
        <w:rPr>
          <w:sz w:val="22"/>
          <w:szCs w:val="22"/>
          <w:lang w:val="uk-UA"/>
        </w:rPr>
        <w:t xml:space="preserve"> (</w:t>
      </w:r>
      <w:r w:rsidRPr="003F489A">
        <w:rPr>
          <w:sz w:val="22"/>
          <w:szCs w:val="22"/>
          <w:lang w:val="en-US"/>
        </w:rPr>
        <w:t>EGMP</w:t>
      </w:r>
      <w:r>
        <w:rPr>
          <w:sz w:val="22"/>
          <w:szCs w:val="22"/>
          <w:lang w:val="uk-UA"/>
        </w:rPr>
        <w:t>)</w:t>
      </w:r>
    </w:p>
    <w:p w:rsidR="00E73519" w:rsidRPr="000269EB" w:rsidRDefault="00E73519" w:rsidP="00E73519">
      <w:pPr>
        <w:spacing w:line="264" w:lineRule="auto"/>
        <w:jc w:val="center"/>
        <w:rPr>
          <w:sz w:val="22"/>
          <w:szCs w:val="22"/>
        </w:rPr>
      </w:pPr>
      <w:r w:rsidRPr="003F489A">
        <w:rPr>
          <w:sz w:val="22"/>
          <w:szCs w:val="22"/>
          <w:lang w:val="uk-UA"/>
        </w:rPr>
        <w:t>Таблиця</w:t>
      </w:r>
      <w:r w:rsidRPr="00AA25B8">
        <w:rPr>
          <w:sz w:val="22"/>
          <w:szCs w:val="22"/>
          <w:lang w:val="uk-UA"/>
        </w:rPr>
        <w:t xml:space="preserve"> 1. </w:t>
      </w:r>
      <w:r w:rsidRPr="003F489A">
        <w:rPr>
          <w:sz w:val="22"/>
          <w:szCs w:val="22"/>
          <w:lang w:val="uk-UA"/>
        </w:rPr>
        <w:t>Енергії взаємодії меламіну з мономерами з бази даних</w:t>
      </w:r>
    </w:p>
    <w:p w:rsidR="00E73519" w:rsidRPr="000269EB" w:rsidRDefault="00E73519" w:rsidP="00E73519">
      <w:pPr>
        <w:spacing w:line="264" w:lineRule="auto"/>
        <w:ind w:firstLine="360"/>
        <w:jc w:val="both"/>
        <w:rPr>
          <w:sz w:val="22"/>
          <w:szCs w:val="22"/>
        </w:rPr>
      </w:pPr>
    </w:p>
    <w:tbl>
      <w:tblPr>
        <w:tblW w:w="0" w:type="auto"/>
        <w:jc w:val="center"/>
        <w:tblInd w:w="-23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90"/>
        <w:gridCol w:w="3397"/>
      </w:tblGrid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  <w:vAlign w:val="center"/>
          </w:tcPr>
          <w:p w:rsidR="00E73519" w:rsidRPr="009308AA" w:rsidRDefault="00E73519" w:rsidP="00BC3E33">
            <w:pPr>
              <w:spacing w:before="120" w:after="120"/>
              <w:jc w:val="center"/>
              <w:rPr>
                <w:b/>
                <w:sz w:val="22"/>
                <w:szCs w:val="22"/>
                <w:lang w:val="uk-UA"/>
              </w:rPr>
            </w:pPr>
            <w:r w:rsidRPr="009308AA">
              <w:rPr>
                <w:b/>
                <w:sz w:val="22"/>
                <w:szCs w:val="22"/>
                <w:lang w:val="uk-UA"/>
              </w:rPr>
              <w:t>Мономер</w:t>
            </w:r>
          </w:p>
        </w:tc>
        <w:tc>
          <w:tcPr>
            <w:tcW w:w="3397" w:type="dxa"/>
            <w:shd w:val="clear" w:color="auto" w:fill="auto"/>
            <w:vAlign w:val="center"/>
          </w:tcPr>
          <w:p w:rsidR="00E73519" w:rsidRPr="009308AA" w:rsidRDefault="00E73519" w:rsidP="00BC3E33">
            <w:pPr>
              <w:spacing w:before="120" w:after="120"/>
              <w:jc w:val="center"/>
              <w:rPr>
                <w:b/>
                <w:sz w:val="22"/>
                <w:szCs w:val="22"/>
                <w:lang w:val="uk-UA"/>
              </w:rPr>
            </w:pPr>
            <w:r w:rsidRPr="009308AA">
              <w:rPr>
                <w:b/>
                <w:sz w:val="22"/>
                <w:szCs w:val="22"/>
                <w:lang w:val="uk-UA"/>
              </w:rPr>
              <w:t>Енергія взаємодії</w:t>
            </w:r>
            <w:r w:rsidRPr="009308AA">
              <w:rPr>
                <w:b/>
                <w:sz w:val="22"/>
                <w:szCs w:val="22"/>
                <w:lang w:val="en-US"/>
              </w:rPr>
              <w:t xml:space="preserve">, </w:t>
            </w:r>
            <w:r w:rsidRPr="009308AA">
              <w:rPr>
                <w:b/>
                <w:sz w:val="22"/>
                <w:szCs w:val="22"/>
                <w:lang w:val="uk-UA"/>
              </w:rPr>
              <w:t>ккал</w:t>
            </w:r>
            <w:r w:rsidRPr="009308AA">
              <w:rPr>
                <w:b/>
                <w:sz w:val="22"/>
                <w:szCs w:val="22"/>
                <w:lang w:val="en-US"/>
              </w:rPr>
              <w:t>/</w:t>
            </w:r>
            <w:r w:rsidRPr="009308AA">
              <w:rPr>
                <w:b/>
                <w:sz w:val="22"/>
                <w:szCs w:val="22"/>
                <w:lang w:val="uk-UA"/>
              </w:rPr>
              <w:t>моль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AMPSA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-42.74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Itaconis acid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-35.35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EGMP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-34.65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Acrylamide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-34.63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Bisacrylamide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-27.24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N-phenylethylene diamine methacrylamide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-25.65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uk-UA"/>
              </w:rPr>
              <w:t>2-</w:t>
            </w:r>
            <w:r w:rsidRPr="009308AA">
              <w:rPr>
                <w:sz w:val="22"/>
                <w:szCs w:val="22"/>
                <w:lang w:val="en-US"/>
              </w:rPr>
              <w:t>Hydroxyethyl methacrylate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-24.93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Diethylaminoethyl mercaptan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-23.33</w:t>
            </w:r>
          </w:p>
        </w:tc>
      </w:tr>
      <w:tr w:rsidR="00E73519" w:rsidRPr="009308AA" w:rsidTr="00BC3E33">
        <w:trPr>
          <w:jc w:val="center"/>
        </w:trPr>
        <w:tc>
          <w:tcPr>
            <w:tcW w:w="2990" w:type="dxa"/>
            <w:shd w:val="clear" w:color="auto" w:fill="auto"/>
          </w:tcPr>
          <w:p w:rsidR="00E73519" w:rsidRPr="009308AA" w:rsidRDefault="00E73519" w:rsidP="00BC3E33">
            <w:pPr>
              <w:jc w:val="both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Methacrylic acid</w:t>
            </w:r>
          </w:p>
        </w:tc>
        <w:tc>
          <w:tcPr>
            <w:tcW w:w="3397" w:type="dxa"/>
            <w:shd w:val="clear" w:color="auto" w:fill="auto"/>
          </w:tcPr>
          <w:p w:rsidR="00E73519" w:rsidRPr="009308AA" w:rsidRDefault="00E73519" w:rsidP="00BC3E33">
            <w:pPr>
              <w:jc w:val="center"/>
              <w:rPr>
                <w:sz w:val="22"/>
                <w:szCs w:val="22"/>
                <w:lang w:val="en-US"/>
              </w:rPr>
            </w:pPr>
            <w:r w:rsidRPr="009308AA">
              <w:rPr>
                <w:sz w:val="22"/>
                <w:szCs w:val="22"/>
                <w:lang w:val="en-US"/>
              </w:rPr>
              <w:t>-21.63</w:t>
            </w:r>
          </w:p>
        </w:tc>
      </w:tr>
    </w:tbl>
    <w:p w:rsidR="00E73519" w:rsidRPr="003F489A" w:rsidRDefault="00E73519" w:rsidP="00E73519">
      <w:pPr>
        <w:spacing w:line="264" w:lineRule="auto"/>
        <w:jc w:val="both"/>
        <w:rPr>
          <w:sz w:val="22"/>
          <w:szCs w:val="22"/>
          <w:lang w:val="en-US"/>
        </w:rPr>
      </w:pPr>
    </w:p>
    <w:p w:rsidR="00E73519" w:rsidRPr="003F489A" w:rsidRDefault="00E73519" w:rsidP="00E73519">
      <w:pPr>
        <w:spacing w:line="264" w:lineRule="auto"/>
        <w:jc w:val="both"/>
        <w:rPr>
          <w:sz w:val="22"/>
          <w:szCs w:val="22"/>
        </w:rPr>
      </w:pPr>
      <w:r w:rsidRPr="003F489A">
        <w:rPr>
          <w:sz w:val="22"/>
          <w:szCs w:val="22"/>
          <w:lang w:val="uk-UA"/>
        </w:rPr>
        <w:t xml:space="preserve">З таблиці 1 видно, що </w:t>
      </w:r>
      <w:r w:rsidRPr="003F489A">
        <w:rPr>
          <w:sz w:val="22"/>
          <w:szCs w:val="22"/>
        </w:rPr>
        <w:t>акриламідо-2-метил-1-пропансульфонова кислота</w:t>
      </w:r>
      <w:r w:rsidRPr="003F489A">
        <w:rPr>
          <w:sz w:val="22"/>
          <w:szCs w:val="22"/>
          <w:lang w:val="uk-UA"/>
        </w:rPr>
        <w:t xml:space="preserve"> найкращий мономер для меламіну, за нею слідують ітаконова кислота і етиленгліколь метакрилат фосфат.</w:t>
      </w:r>
    </w:p>
    <w:p w:rsidR="00E73519" w:rsidRPr="00BF4776" w:rsidRDefault="00E73519" w:rsidP="00E73519">
      <w:pPr>
        <w:spacing w:line="264" w:lineRule="auto"/>
        <w:ind w:firstLine="720"/>
        <w:jc w:val="both"/>
        <w:rPr>
          <w:sz w:val="22"/>
          <w:szCs w:val="22"/>
        </w:rPr>
      </w:pPr>
    </w:p>
    <w:p w:rsidR="00E73519" w:rsidRPr="003F489A" w:rsidRDefault="00E73519" w:rsidP="00E73519">
      <w:pPr>
        <w:spacing w:line="264" w:lineRule="auto"/>
        <w:ind w:firstLine="540"/>
        <w:jc w:val="both"/>
        <w:rPr>
          <w:b/>
          <w:sz w:val="22"/>
          <w:szCs w:val="22"/>
          <w:lang w:val="uk-UA"/>
        </w:rPr>
      </w:pPr>
      <w:r w:rsidRPr="003F489A">
        <w:rPr>
          <w:b/>
          <w:sz w:val="22"/>
          <w:szCs w:val="22"/>
          <w:lang w:val="uk-UA"/>
        </w:rPr>
        <w:t>Висновки</w:t>
      </w:r>
    </w:p>
    <w:p w:rsidR="00E73519" w:rsidRPr="00AA25B8" w:rsidRDefault="00E73519" w:rsidP="00E73519">
      <w:pPr>
        <w:spacing w:line="264" w:lineRule="auto"/>
        <w:ind w:firstLine="540"/>
        <w:jc w:val="both"/>
        <w:rPr>
          <w:sz w:val="22"/>
          <w:szCs w:val="22"/>
        </w:rPr>
      </w:pPr>
      <w:r w:rsidRPr="003F489A">
        <w:rPr>
          <w:sz w:val="22"/>
          <w:szCs w:val="22"/>
          <w:lang w:val="uk-UA"/>
        </w:rPr>
        <w:t xml:space="preserve">На основі отриманих результатів можна стверджувати, що найбільш успішними кандидатами для утворення МІП, як сенсорного елементу, що дасть можливість підвищити селективність </w:t>
      </w:r>
      <w:r>
        <w:rPr>
          <w:sz w:val="22"/>
          <w:szCs w:val="22"/>
          <w:lang w:val="uk-UA"/>
        </w:rPr>
        <w:t xml:space="preserve">і знизити межу </w:t>
      </w:r>
      <w:r w:rsidRPr="003F489A">
        <w:rPr>
          <w:sz w:val="22"/>
          <w:szCs w:val="22"/>
          <w:lang w:val="uk-UA"/>
        </w:rPr>
        <w:t>визначення меламіну є акриламідо-2-метил-1-пропансульфонова кислота, ітаконова кислота і етиленгліколь метакрилат фосфат. Зауважимо, що використаний у роботі підхід, який базується на використання молекулярної механіки</w:t>
      </w:r>
      <w:r>
        <w:rPr>
          <w:sz w:val="22"/>
          <w:szCs w:val="22"/>
          <w:lang w:val="uk-UA"/>
        </w:rPr>
        <w:t xml:space="preserve"> та динаміки</w:t>
      </w:r>
      <w:r w:rsidRPr="003F489A">
        <w:rPr>
          <w:sz w:val="22"/>
          <w:szCs w:val="22"/>
          <w:lang w:val="uk-UA"/>
        </w:rPr>
        <w:t>, дає можливість обійтись без часо</w:t>
      </w:r>
      <w:r w:rsidRPr="003F489A">
        <w:rPr>
          <w:sz w:val="22"/>
          <w:szCs w:val="22"/>
        </w:rPr>
        <w:t>-</w:t>
      </w:r>
      <w:r w:rsidRPr="003F489A">
        <w:rPr>
          <w:sz w:val="22"/>
          <w:szCs w:val="22"/>
          <w:lang w:val="uk-UA"/>
        </w:rPr>
        <w:t xml:space="preserve"> і грошезатратного експерименту.</w:t>
      </w:r>
    </w:p>
    <w:p w:rsidR="00E73519" w:rsidRPr="003F489A" w:rsidRDefault="00E73519" w:rsidP="00E73519">
      <w:pPr>
        <w:spacing w:line="264" w:lineRule="auto"/>
        <w:ind w:firstLine="540"/>
        <w:jc w:val="both"/>
        <w:rPr>
          <w:sz w:val="22"/>
          <w:szCs w:val="22"/>
          <w:lang w:val="uk-UA"/>
        </w:rPr>
      </w:pPr>
    </w:p>
    <w:p w:rsidR="00E73519" w:rsidRPr="003F489A" w:rsidRDefault="00E73519" w:rsidP="00E73519">
      <w:pPr>
        <w:spacing w:line="264" w:lineRule="auto"/>
        <w:ind w:firstLine="540"/>
        <w:jc w:val="both"/>
        <w:rPr>
          <w:b/>
          <w:sz w:val="22"/>
          <w:szCs w:val="22"/>
          <w:lang w:val="uk-UA"/>
        </w:rPr>
      </w:pPr>
      <w:r w:rsidRPr="003F489A">
        <w:rPr>
          <w:b/>
          <w:sz w:val="22"/>
          <w:szCs w:val="22"/>
          <w:lang w:val="uk-UA"/>
        </w:rPr>
        <w:t>Подяки</w:t>
      </w:r>
    </w:p>
    <w:p w:rsidR="00E73519" w:rsidRPr="003F489A" w:rsidRDefault="00E73519" w:rsidP="00E73519">
      <w:pPr>
        <w:ind w:firstLine="567"/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Дана робота виконана в рамках міжнародного проекту №5067 Українського науко-во-технологічного центру під керівництвом проф.</w:t>
      </w:r>
      <w:r w:rsidRPr="003F489A">
        <w:rPr>
          <w:lang w:val="uk-UA"/>
        </w:rPr>
        <w:t> </w:t>
      </w:r>
      <w:r w:rsidRPr="003F489A">
        <w:rPr>
          <w:sz w:val="22"/>
          <w:szCs w:val="22"/>
          <w:lang w:val="uk-UA"/>
        </w:rPr>
        <w:t xml:space="preserve">Рожицького М.М. Крім того, ми хочемо висловити велику подяку Др. Колу Каріму за допомогу під час проведення комп'ютерного моделювання, а також проф. Сергію Пілецькому за можливість використання ПК із програмним пакетом SYBYL 7.3. </w:t>
      </w:r>
    </w:p>
    <w:p w:rsidR="00E73519" w:rsidRPr="003F489A" w:rsidRDefault="00E73519" w:rsidP="00E73519">
      <w:pPr>
        <w:ind w:firstLine="567"/>
        <w:rPr>
          <w:lang w:val="uk-UA"/>
        </w:rPr>
      </w:pPr>
    </w:p>
    <w:p w:rsidR="00E73519" w:rsidRPr="00C36834" w:rsidRDefault="00E73519" w:rsidP="00E73519">
      <w:pPr>
        <w:rPr>
          <w:b/>
          <w:sz w:val="22"/>
          <w:szCs w:val="22"/>
          <w:lang w:val="uk-UA"/>
        </w:rPr>
      </w:pPr>
      <w:r w:rsidRPr="00C36834">
        <w:rPr>
          <w:b/>
          <w:sz w:val="22"/>
          <w:szCs w:val="22"/>
          <w:lang w:val="uk-UA"/>
        </w:rPr>
        <w:t>Список літератури:</w:t>
      </w:r>
    </w:p>
    <w:p w:rsidR="00E73519" w:rsidRPr="003F489A" w:rsidRDefault="00E73519" w:rsidP="00E73519">
      <w:pPr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1. Гендриксон О.Д., Жердев </w:t>
      </w:r>
      <w:r w:rsidRPr="003F489A">
        <w:rPr>
          <w:sz w:val="22"/>
          <w:szCs w:val="22"/>
          <w:lang w:val="en-US"/>
        </w:rPr>
        <w:t>A</w:t>
      </w:r>
      <w:r w:rsidRPr="003F489A">
        <w:rPr>
          <w:sz w:val="22"/>
          <w:szCs w:val="22"/>
          <w:lang w:val="uk-UA"/>
        </w:rPr>
        <w:t xml:space="preserve">.В., Дзантиев Б.Б. </w:t>
      </w:r>
      <w:r w:rsidRPr="003F489A">
        <w:rPr>
          <w:i/>
          <w:sz w:val="22"/>
          <w:szCs w:val="22"/>
          <w:lang w:val="uk-UA"/>
        </w:rPr>
        <w:t>Успехи биологической химии</w:t>
      </w:r>
      <w:r w:rsidRPr="003F489A">
        <w:rPr>
          <w:sz w:val="22"/>
          <w:szCs w:val="22"/>
          <w:lang w:val="uk-UA"/>
        </w:rPr>
        <w:t>, 2006, – т. 46, – с. 149–192.</w:t>
      </w:r>
    </w:p>
    <w:p w:rsidR="00E73519" w:rsidRPr="003F489A" w:rsidRDefault="00E73519" w:rsidP="00E73519">
      <w:pPr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>2. Polyakov M.V. // Zhur. Fiz. Khim. 1931. – Vol. 2. – P. 799–805.</w:t>
      </w:r>
    </w:p>
    <w:p w:rsidR="00E73519" w:rsidRPr="003F489A" w:rsidRDefault="00E73519" w:rsidP="00E73519">
      <w:pPr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3. </w:t>
      </w:r>
      <w:smartTag w:uri="urn:schemas-microsoft-com:office:smarttags" w:element="place">
        <w:r w:rsidRPr="003F489A">
          <w:rPr>
            <w:sz w:val="22"/>
            <w:szCs w:val="22"/>
            <w:lang w:val="uk-UA"/>
          </w:rPr>
          <w:t>E. Hedborg</w:t>
        </w:r>
      </w:smartTag>
      <w:r w:rsidRPr="003F489A">
        <w:rPr>
          <w:sz w:val="22"/>
          <w:szCs w:val="22"/>
          <w:lang w:val="uk-UA"/>
        </w:rPr>
        <w:t xml:space="preserve">, F. Winquist, et al., </w:t>
      </w:r>
      <w:r w:rsidRPr="003F489A">
        <w:rPr>
          <w:i/>
          <w:sz w:val="22"/>
          <w:szCs w:val="22"/>
          <w:lang w:val="uk-UA"/>
        </w:rPr>
        <w:t>Sensors and Actuators A-Physical</w:t>
      </w:r>
      <w:r w:rsidRPr="003F489A">
        <w:rPr>
          <w:sz w:val="22"/>
          <w:szCs w:val="22"/>
          <w:lang w:val="uk-UA"/>
        </w:rPr>
        <w:t>, 1993, 37, 796.</w:t>
      </w:r>
    </w:p>
    <w:p w:rsidR="00E73519" w:rsidRPr="003F489A" w:rsidRDefault="00E73519" w:rsidP="00E73519">
      <w:pPr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</w:rPr>
        <w:t>4</w:t>
      </w:r>
      <w:r w:rsidRPr="003F489A">
        <w:rPr>
          <w:sz w:val="22"/>
          <w:szCs w:val="22"/>
          <w:lang w:val="uk-UA"/>
        </w:rPr>
        <w:t>. «Бі-Бі-Сі: Хімікат меламін у Китаї додавали, як протеїн». 3 листопада 2008.</w:t>
      </w:r>
    </w:p>
    <w:p w:rsidR="00E73519" w:rsidRPr="003F489A" w:rsidRDefault="00E73519" w:rsidP="00E73519">
      <w:pPr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en-US"/>
        </w:rPr>
        <w:t>5</w:t>
      </w:r>
      <w:r w:rsidRPr="003F489A">
        <w:rPr>
          <w:sz w:val="22"/>
          <w:szCs w:val="22"/>
          <w:lang w:val="uk-UA"/>
        </w:rPr>
        <w:t xml:space="preserve">. Chen B., Day R. M., Piletsky </w:t>
      </w:r>
      <w:smartTag w:uri="urn:schemas-microsoft-com:office:smarttags" w:element="country-region">
        <w:smartTag w:uri="urn:schemas-microsoft-com:office:smarttags" w:element="place">
          <w:r w:rsidRPr="003F489A">
            <w:rPr>
              <w:sz w:val="22"/>
              <w:szCs w:val="22"/>
              <w:lang w:val="uk-UA"/>
            </w:rPr>
            <w:t>S.A.</w:t>
          </w:r>
        </w:smartTag>
      </w:smartTag>
      <w:r w:rsidRPr="003F489A">
        <w:rPr>
          <w:sz w:val="22"/>
          <w:szCs w:val="22"/>
          <w:lang w:val="uk-UA"/>
        </w:rPr>
        <w:t>, Piletska O., Subrahmanyam S., Turner A.P. F., Rational design of MIPs using computational approach. UK Patent, GB0001513-1, 2000.</w:t>
      </w:r>
    </w:p>
    <w:p w:rsidR="00E73519" w:rsidRPr="000269EB" w:rsidRDefault="00E73519" w:rsidP="00E73519">
      <w:pPr>
        <w:jc w:val="both"/>
        <w:rPr>
          <w:sz w:val="22"/>
          <w:szCs w:val="22"/>
          <w:lang w:val="uk-UA"/>
        </w:rPr>
      </w:pPr>
      <w:r w:rsidRPr="003F489A">
        <w:rPr>
          <w:sz w:val="22"/>
          <w:szCs w:val="22"/>
          <w:lang w:val="uk-UA"/>
        </w:rPr>
        <w:t xml:space="preserve">6. Muzyka K., Rozhitskii M. </w:t>
      </w:r>
      <w:r w:rsidRPr="003F489A">
        <w:rPr>
          <w:i/>
          <w:sz w:val="22"/>
          <w:szCs w:val="22"/>
          <w:lang w:val="uk-UA"/>
        </w:rPr>
        <w:t>Системи обробки інформації</w:t>
      </w:r>
      <w:r w:rsidRPr="003F489A">
        <w:rPr>
          <w:sz w:val="22"/>
          <w:szCs w:val="22"/>
          <w:lang w:val="uk-UA"/>
        </w:rPr>
        <w:t>. 2012. – Вип. 2 (100). – с. 237– 240.</w:t>
      </w:r>
    </w:p>
    <w:p w:rsidR="00E73519" w:rsidRDefault="00E73519" w:rsidP="00E73519">
      <w:pPr>
        <w:spacing w:line="360" w:lineRule="auto"/>
        <w:jc w:val="both"/>
        <w:rPr>
          <w:b/>
          <w:caps/>
          <w:sz w:val="22"/>
          <w:szCs w:val="22"/>
        </w:rPr>
      </w:pPr>
    </w:p>
    <w:p w:rsidR="00E73519" w:rsidRDefault="00E73519" w:rsidP="00E73519">
      <w:pPr>
        <w:spacing w:line="360" w:lineRule="auto"/>
        <w:jc w:val="both"/>
        <w:rPr>
          <w:b/>
          <w:caps/>
          <w:sz w:val="22"/>
          <w:szCs w:val="22"/>
        </w:rPr>
      </w:pPr>
    </w:p>
    <w:p w:rsidR="00E73519" w:rsidRDefault="00E73519" w:rsidP="00E73519">
      <w:pPr>
        <w:spacing w:line="360" w:lineRule="auto"/>
        <w:jc w:val="both"/>
        <w:rPr>
          <w:b/>
          <w:caps/>
          <w:sz w:val="22"/>
          <w:szCs w:val="22"/>
        </w:rPr>
      </w:pPr>
    </w:p>
    <w:p w:rsidR="00E73519" w:rsidRDefault="00E73519" w:rsidP="00E73519">
      <w:pPr>
        <w:spacing w:line="360" w:lineRule="auto"/>
        <w:jc w:val="both"/>
        <w:rPr>
          <w:b/>
          <w:caps/>
          <w:sz w:val="22"/>
          <w:szCs w:val="22"/>
        </w:rPr>
      </w:pPr>
    </w:p>
    <w:p w:rsidR="004531BF" w:rsidRDefault="004531BF"/>
    <w:sectPr w:rsidR="004531BF" w:rsidSect="004531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characterSpacingControl w:val="doNotCompress"/>
  <w:compat/>
  <w:rsids>
    <w:rsidRoot w:val="00E73519"/>
    <w:rsid w:val="004531BF"/>
    <w:rsid w:val="00E735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5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7351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7351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351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mailto:mkm@kture.kharkov.ua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1202</Words>
  <Characters>6854</Characters>
  <Application>Microsoft Office Word</Application>
  <DocSecurity>0</DocSecurity>
  <Lines>57</Lines>
  <Paragraphs>16</Paragraphs>
  <ScaleCrop>false</ScaleCrop>
  <Company>Mi5</Company>
  <LinksUpToDate>false</LinksUpToDate>
  <CharactersWithSpaces>8040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2012-12-03T12:30:00Z</dcterms:created>
  <dcterms:modified xsi:type="dcterms:W3CDTF">2012-12-03T12:30:00Z</dcterms:modified>
</cp:coreProperties>
</file>