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9A" w:rsidRPr="00387730" w:rsidRDefault="00BB7B9A" w:rsidP="00BB7B9A">
      <w:pPr>
        <w:pStyle w:val="4"/>
        <w:rPr>
          <w:sz w:val="22"/>
          <w:szCs w:val="22"/>
          <w:lang w:val="uk-UA"/>
        </w:rPr>
      </w:pPr>
      <w:r w:rsidRPr="00DE28AE">
        <w:rPr>
          <w:sz w:val="22"/>
          <w:szCs w:val="22"/>
        </w:rPr>
        <w:t>ВЫСОКОЧУВСТВИТЕЛЬНЫЙ НАНОТЕХНОЛОГИЧНЫЙ МЕТОД ОПРЕДЕЛЕНИЯ НЕРАСТВОРИМЫХ В ВОДЕ ЭКОТОКСИКАНТОВ</w:t>
      </w:r>
    </w:p>
    <w:p w:rsidR="00BB7B9A" w:rsidRPr="00627FA9" w:rsidRDefault="00BB7B9A" w:rsidP="00BB7B9A">
      <w:pPr>
        <w:jc w:val="center"/>
        <w:rPr>
          <w:sz w:val="22"/>
          <w:szCs w:val="22"/>
        </w:rPr>
      </w:pPr>
      <w:r w:rsidRPr="00832EB1">
        <w:rPr>
          <w:sz w:val="22"/>
          <w:szCs w:val="22"/>
        </w:rPr>
        <w:t>Кукоба Е.А</w:t>
      </w:r>
      <w:r>
        <w:rPr>
          <w:sz w:val="22"/>
          <w:szCs w:val="22"/>
        </w:rPr>
        <w:t>., Рожицкий Н.Н.</w:t>
      </w:r>
    </w:p>
    <w:p w:rsidR="00BB7B9A" w:rsidRPr="00977A6C" w:rsidRDefault="00BB7B9A" w:rsidP="00BB7B9A">
      <w:pPr>
        <w:jc w:val="center"/>
        <w:rPr>
          <w:sz w:val="22"/>
          <w:szCs w:val="22"/>
        </w:rPr>
      </w:pPr>
      <w:r w:rsidRPr="00977A6C">
        <w:rPr>
          <w:sz w:val="22"/>
          <w:szCs w:val="22"/>
        </w:rPr>
        <w:t>Харьковский национальный университет ради</w:t>
      </w:r>
      <w:r w:rsidRPr="00977A6C">
        <w:rPr>
          <w:sz w:val="22"/>
          <w:szCs w:val="22"/>
        </w:rPr>
        <w:t>о</w:t>
      </w:r>
      <w:r w:rsidRPr="00977A6C">
        <w:rPr>
          <w:sz w:val="22"/>
          <w:szCs w:val="22"/>
        </w:rPr>
        <w:t>электроники</w:t>
      </w:r>
    </w:p>
    <w:p w:rsidR="00BB7B9A" w:rsidRPr="00977A6C" w:rsidRDefault="00BB7B9A" w:rsidP="00BB7B9A">
      <w:pPr>
        <w:jc w:val="center"/>
        <w:rPr>
          <w:sz w:val="22"/>
          <w:szCs w:val="22"/>
        </w:rPr>
      </w:pPr>
      <w:r w:rsidRPr="00977A6C">
        <w:rPr>
          <w:sz w:val="22"/>
          <w:szCs w:val="22"/>
        </w:rPr>
        <w:t xml:space="preserve">61166, Харьков, пр. Ленина, </w:t>
      </w:r>
      <w:r w:rsidRPr="00387730">
        <w:rPr>
          <w:sz w:val="22"/>
          <w:szCs w:val="22"/>
        </w:rPr>
        <w:t>лаборатор</w:t>
      </w:r>
      <w:r>
        <w:rPr>
          <w:sz w:val="22"/>
          <w:szCs w:val="22"/>
        </w:rPr>
        <w:t>и</w:t>
      </w:r>
      <w:r w:rsidRPr="00387730">
        <w:rPr>
          <w:sz w:val="22"/>
          <w:szCs w:val="22"/>
        </w:rPr>
        <w:t>я "Анал</w:t>
      </w:r>
      <w:r>
        <w:rPr>
          <w:sz w:val="22"/>
          <w:szCs w:val="22"/>
        </w:rPr>
        <w:t>и</w:t>
      </w:r>
      <w:r w:rsidRPr="00387730">
        <w:rPr>
          <w:sz w:val="22"/>
          <w:szCs w:val="22"/>
        </w:rPr>
        <w:t>тич</w:t>
      </w:r>
      <w:r>
        <w:rPr>
          <w:sz w:val="22"/>
          <w:szCs w:val="22"/>
        </w:rPr>
        <w:t>еская</w:t>
      </w:r>
      <w:r w:rsidRPr="00387730">
        <w:rPr>
          <w:sz w:val="22"/>
          <w:szCs w:val="22"/>
        </w:rPr>
        <w:t xml:space="preserve"> оптохемотрон</w:t>
      </w:r>
      <w:r>
        <w:rPr>
          <w:sz w:val="22"/>
          <w:szCs w:val="22"/>
        </w:rPr>
        <w:t>и</w:t>
      </w:r>
      <w:r w:rsidRPr="00387730">
        <w:rPr>
          <w:sz w:val="22"/>
          <w:szCs w:val="22"/>
        </w:rPr>
        <w:t>ка"</w:t>
      </w:r>
      <w:r w:rsidRPr="00977A6C">
        <w:rPr>
          <w:sz w:val="22"/>
          <w:szCs w:val="22"/>
        </w:rPr>
        <w:t>,</w:t>
      </w:r>
    </w:p>
    <w:p w:rsidR="00BB7B9A" w:rsidRPr="00D20064" w:rsidRDefault="00BB7B9A" w:rsidP="00BB7B9A">
      <w:pPr>
        <w:jc w:val="center"/>
        <w:rPr>
          <w:sz w:val="22"/>
          <w:szCs w:val="22"/>
        </w:rPr>
      </w:pPr>
      <w:r w:rsidRPr="00832EB1">
        <w:rPr>
          <w:sz w:val="22"/>
          <w:szCs w:val="22"/>
        </w:rPr>
        <w:t xml:space="preserve">E-mail: </w:t>
      </w:r>
      <w:hyperlink r:id="rId4" w:history="1">
        <w:r w:rsidRPr="00D20064">
          <w:rPr>
            <w:rStyle w:val="a3"/>
            <w:sz w:val="22"/>
            <w:szCs w:val="22"/>
            <w:lang w:val="it-IT"/>
          </w:rPr>
          <w:t>rzh@kture.kharkov.ua</w:t>
        </w:r>
      </w:hyperlink>
    </w:p>
    <w:p w:rsidR="00BB7B9A" w:rsidRPr="00DE28AE" w:rsidRDefault="00BB7B9A" w:rsidP="00BB7B9A">
      <w:pPr>
        <w:ind w:firstLine="567"/>
        <w:jc w:val="both"/>
        <w:rPr>
          <w:spacing w:val="-2"/>
          <w:sz w:val="22"/>
          <w:szCs w:val="22"/>
          <w:lang w:val="en-US"/>
        </w:rPr>
      </w:pPr>
      <w:r w:rsidRPr="00DE28AE">
        <w:rPr>
          <w:spacing w:val="-2"/>
          <w:sz w:val="22"/>
          <w:szCs w:val="22"/>
          <w:lang w:val="en-US"/>
        </w:rPr>
        <w:t>The paper is devoted to the problem of water insoluble ecotoxicant detection in aqu</w:t>
      </w:r>
      <w:r w:rsidRPr="00DE28AE">
        <w:rPr>
          <w:spacing w:val="-2"/>
          <w:sz w:val="22"/>
          <w:szCs w:val="22"/>
          <w:lang w:val="en-US"/>
        </w:rPr>
        <w:t>e</w:t>
      </w:r>
      <w:r w:rsidRPr="00DE28AE">
        <w:rPr>
          <w:spacing w:val="-2"/>
          <w:sz w:val="22"/>
          <w:szCs w:val="22"/>
          <w:lang w:val="en-US"/>
        </w:rPr>
        <w:t>ous medium using electrochemiluminescent method. The increase of detection sensitivity was reached using polyacenes immobilization on the sensor electrode surface by means of Lan</w:t>
      </w:r>
      <w:r w:rsidRPr="00DE28AE">
        <w:rPr>
          <w:spacing w:val="-2"/>
          <w:sz w:val="22"/>
          <w:szCs w:val="22"/>
          <w:lang w:val="en-US"/>
        </w:rPr>
        <w:t>g</w:t>
      </w:r>
      <w:r w:rsidRPr="00DE28AE">
        <w:rPr>
          <w:spacing w:val="-2"/>
          <w:sz w:val="22"/>
          <w:szCs w:val="22"/>
          <w:lang w:val="en-US"/>
        </w:rPr>
        <w:t xml:space="preserve">muir-Blodgett technique. Advantages of proposed method were demonstrated on example of polyacenes detection. </w:t>
      </w:r>
    </w:p>
    <w:p w:rsidR="00BB7B9A" w:rsidRPr="00DE28AE" w:rsidRDefault="00BB7B9A" w:rsidP="00BB7B9A">
      <w:pPr>
        <w:ind w:firstLine="567"/>
        <w:jc w:val="both"/>
        <w:rPr>
          <w:spacing w:val="-2"/>
          <w:sz w:val="22"/>
          <w:szCs w:val="22"/>
          <w:lang w:val="en-US"/>
        </w:rPr>
      </w:pPr>
    </w:p>
    <w:p w:rsidR="00BB7B9A" w:rsidRPr="00D20064" w:rsidRDefault="00BB7B9A" w:rsidP="00BB7B9A">
      <w:pPr>
        <w:ind w:firstLine="567"/>
        <w:outlineLvl w:val="0"/>
        <w:rPr>
          <w:spacing w:val="-2"/>
          <w:sz w:val="22"/>
          <w:szCs w:val="22"/>
        </w:rPr>
      </w:pPr>
      <w:r w:rsidRPr="00D20064">
        <w:rPr>
          <w:b/>
          <w:spacing w:val="-2"/>
          <w:sz w:val="22"/>
          <w:szCs w:val="22"/>
        </w:rPr>
        <w:t>Введение</w:t>
      </w:r>
    </w:p>
    <w:p w:rsidR="00BB7B9A" w:rsidRPr="00D20064" w:rsidRDefault="00BB7B9A" w:rsidP="00BB7B9A">
      <w:pPr>
        <w:ind w:firstLine="567"/>
        <w:jc w:val="both"/>
        <w:outlineLvl w:val="0"/>
        <w:rPr>
          <w:spacing w:val="-2"/>
          <w:sz w:val="22"/>
          <w:szCs w:val="22"/>
        </w:rPr>
      </w:pPr>
      <w:r w:rsidRPr="00D20064">
        <w:rPr>
          <w:spacing w:val="-2"/>
          <w:sz w:val="22"/>
          <w:szCs w:val="22"/>
        </w:rPr>
        <w:t>Электрохемилюминесцентный (ЭХЛ) метод определения органических соедин</w:t>
      </w:r>
      <w:r w:rsidRPr="00D20064">
        <w:rPr>
          <w:spacing w:val="-2"/>
          <w:sz w:val="22"/>
          <w:szCs w:val="22"/>
        </w:rPr>
        <w:t>е</w:t>
      </w:r>
      <w:r w:rsidRPr="00D20064">
        <w:rPr>
          <w:spacing w:val="-2"/>
          <w:sz w:val="22"/>
          <w:szCs w:val="22"/>
        </w:rPr>
        <w:t>ний, объединивший в себе достоинства люминесцентного и электрохимического методов, является одним из самых чувствительных [1]. Для уменьшения количества определяем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>го вещества (объёма пробы) от объёмных ЭХЛ-ячеек перешли к тонкослойным ячейкам, в которых расстояние между рабочим и вспомогательным электродами составляет сотни и даже десятки микрометров. Однако такое техническое решение сделало невозможным использование режима потенциостатирования рабочего электрода, требующего размещ</w:t>
      </w:r>
      <w:r w:rsidRPr="00D20064">
        <w:rPr>
          <w:spacing w:val="-2"/>
          <w:sz w:val="22"/>
          <w:szCs w:val="22"/>
        </w:rPr>
        <w:t>е</w:t>
      </w:r>
      <w:r w:rsidRPr="00D20064">
        <w:rPr>
          <w:spacing w:val="-2"/>
          <w:sz w:val="22"/>
          <w:szCs w:val="22"/>
        </w:rPr>
        <w:t>ния между двумя электродами – рабочим и вспомогательным - третьего электрода сравнения, миниатюризация которого оказалась крайне сложной задачей. Использование тонкослойного ЭХЛ-сенсора в двухэлектродном варианте резко снизило точность управл</w:t>
      </w:r>
      <w:r w:rsidRPr="00D20064">
        <w:rPr>
          <w:spacing w:val="-2"/>
          <w:sz w:val="22"/>
          <w:szCs w:val="22"/>
        </w:rPr>
        <w:t>е</w:t>
      </w:r>
      <w:r w:rsidRPr="00D20064">
        <w:rPr>
          <w:spacing w:val="-2"/>
          <w:sz w:val="22"/>
          <w:szCs w:val="22"/>
        </w:rPr>
        <w:t>ния потенциалом рабочего электрода и, как следствие, избирательность определения. Другим существенным недостатком традиционного подхода является применение апр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>тонных растворителей вместо доступной дистиллированной воды, в которой далеко не все определяемые соединения растворимы.</w:t>
      </w:r>
    </w:p>
    <w:p w:rsidR="00BB7B9A" w:rsidRPr="00D20064" w:rsidRDefault="00BB7B9A" w:rsidP="00BB7B9A">
      <w:pPr>
        <w:ind w:firstLine="567"/>
        <w:jc w:val="both"/>
        <w:outlineLvl w:val="0"/>
        <w:rPr>
          <w:spacing w:val="-2"/>
          <w:sz w:val="22"/>
          <w:szCs w:val="22"/>
        </w:rPr>
      </w:pPr>
      <w:r w:rsidRPr="00D20064">
        <w:rPr>
          <w:spacing w:val="-2"/>
          <w:sz w:val="22"/>
          <w:szCs w:val="22"/>
        </w:rPr>
        <w:t>Использование технологии Ленгмюра-Блоджетт (ЛБ) позволяет усовершенствовать ЭХЛ метод за счет перевода определяемых веществ из анализируемого объёма в ЛБ м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>нослои на поверхности электрода-сенсора и проведения анализа исключительно в водной фазе [2]. Предлагаемая методика наиболее эффективно может быть использована для определения нерастворимых в воде экотоксикантов, которые достаточно легко могут быть экстрагированы из воды органическими растворителями. Такими экотоксикантами являются полиацены, большинство из которых обладают ярко выраженными канцероге</w:t>
      </w:r>
      <w:r w:rsidRPr="00D20064">
        <w:rPr>
          <w:spacing w:val="-2"/>
          <w:sz w:val="22"/>
          <w:szCs w:val="22"/>
        </w:rPr>
        <w:t>н</w:t>
      </w:r>
      <w:r w:rsidRPr="00D20064">
        <w:rPr>
          <w:spacing w:val="-2"/>
          <w:sz w:val="22"/>
          <w:szCs w:val="22"/>
        </w:rPr>
        <w:t>ными и мутагенными свойствами. Полиацены образуются в процессе сжигания различных в</w:t>
      </w:r>
      <w:r w:rsidRPr="00D20064">
        <w:rPr>
          <w:spacing w:val="-2"/>
          <w:sz w:val="22"/>
          <w:szCs w:val="22"/>
        </w:rPr>
        <w:t>и</w:t>
      </w:r>
      <w:r w:rsidRPr="00D20064">
        <w:rPr>
          <w:spacing w:val="-2"/>
          <w:sz w:val="22"/>
          <w:szCs w:val="22"/>
        </w:rPr>
        <w:t>дов топлив (автомобили, коксохимическое производство и т.д.). Самым известным пол</w:t>
      </w:r>
      <w:r w:rsidRPr="00D20064">
        <w:rPr>
          <w:spacing w:val="-2"/>
          <w:sz w:val="22"/>
          <w:szCs w:val="22"/>
        </w:rPr>
        <w:t>и</w:t>
      </w:r>
      <w:r w:rsidRPr="00D20064">
        <w:rPr>
          <w:spacing w:val="-2"/>
          <w:sz w:val="22"/>
          <w:szCs w:val="22"/>
        </w:rPr>
        <w:t>аценом является 3,4-бензпирен – сильнейший канцероген, относящийся к веществам 1-го класса опасности (ПДК=0,001мкг/м</w:t>
      </w:r>
      <w:r w:rsidRPr="00D20064">
        <w:rPr>
          <w:spacing w:val="-2"/>
          <w:sz w:val="22"/>
          <w:szCs w:val="22"/>
          <w:vertAlign w:val="superscript"/>
        </w:rPr>
        <w:t>3</w:t>
      </w:r>
      <w:r w:rsidRPr="00D20064">
        <w:rPr>
          <w:spacing w:val="-2"/>
          <w:sz w:val="22"/>
          <w:szCs w:val="22"/>
        </w:rPr>
        <w:t>). Таким образом, определение содержания п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>лиаценов в окружающей среде, в первую очередь в природных водах, является очень а</w:t>
      </w:r>
      <w:r w:rsidRPr="00D20064">
        <w:rPr>
          <w:spacing w:val="-2"/>
          <w:sz w:val="22"/>
          <w:szCs w:val="22"/>
        </w:rPr>
        <w:t>к</w:t>
      </w:r>
      <w:r w:rsidRPr="00D20064">
        <w:rPr>
          <w:spacing w:val="-2"/>
          <w:sz w:val="22"/>
          <w:szCs w:val="22"/>
        </w:rPr>
        <w:t xml:space="preserve">туальной задачей. </w:t>
      </w:r>
      <w:r w:rsidRPr="00D20064">
        <w:rPr>
          <w:bCs/>
          <w:spacing w:val="-2"/>
          <w:sz w:val="22"/>
          <w:szCs w:val="22"/>
        </w:rPr>
        <w:t>Полиацены обладают люминесцентными свойствами, но их о</w:t>
      </w:r>
      <w:r w:rsidRPr="00D20064">
        <w:rPr>
          <w:spacing w:val="-2"/>
          <w:sz w:val="22"/>
          <w:szCs w:val="22"/>
        </w:rPr>
        <w:t>предел</w:t>
      </w:r>
      <w:r w:rsidRPr="00D20064">
        <w:rPr>
          <w:spacing w:val="-2"/>
          <w:sz w:val="22"/>
          <w:szCs w:val="22"/>
        </w:rPr>
        <w:t>е</w:t>
      </w:r>
      <w:r w:rsidRPr="00D20064">
        <w:rPr>
          <w:spacing w:val="-2"/>
          <w:sz w:val="22"/>
          <w:szCs w:val="22"/>
        </w:rPr>
        <w:t>ние традиционными аналитическими методами затрудняет то обстоятельство, что они не растворяются в воде, а пребывают в ней в виде наноразмерных ча</w:t>
      </w:r>
      <w:r w:rsidRPr="00D20064">
        <w:rPr>
          <w:spacing w:val="-2"/>
          <w:sz w:val="22"/>
          <w:szCs w:val="22"/>
        </w:rPr>
        <w:t>с</w:t>
      </w:r>
      <w:r w:rsidRPr="00D20064">
        <w:rPr>
          <w:spacing w:val="-2"/>
          <w:sz w:val="22"/>
          <w:szCs w:val="22"/>
        </w:rPr>
        <w:t>тиц.</w:t>
      </w:r>
    </w:p>
    <w:p w:rsidR="00BB7B9A" w:rsidRPr="00D20064" w:rsidRDefault="00BB7B9A" w:rsidP="00BB7B9A">
      <w:pPr>
        <w:ind w:firstLine="567"/>
        <w:jc w:val="both"/>
        <w:outlineLvl w:val="0"/>
        <w:rPr>
          <w:spacing w:val="-2"/>
          <w:sz w:val="22"/>
          <w:szCs w:val="22"/>
        </w:rPr>
      </w:pPr>
      <w:r w:rsidRPr="00D20064">
        <w:rPr>
          <w:spacing w:val="-2"/>
          <w:sz w:val="22"/>
          <w:szCs w:val="22"/>
        </w:rPr>
        <w:t>Разработанная методика предполагает экстрагирование полиаценов из водной пр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>бы несмешивающимся с водой летучим растворителем (например, хлороформом). Для уменьшения количества растворителя может быть использована технология ультразвук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>вого эмульгирования. В полученный экстракт добавляется необходимое количество а</w:t>
      </w:r>
      <w:r w:rsidRPr="00D20064">
        <w:rPr>
          <w:spacing w:val="-2"/>
          <w:sz w:val="22"/>
          <w:szCs w:val="22"/>
        </w:rPr>
        <w:t>м</w:t>
      </w:r>
      <w:r w:rsidRPr="00D20064">
        <w:rPr>
          <w:spacing w:val="-2"/>
          <w:sz w:val="22"/>
          <w:szCs w:val="22"/>
        </w:rPr>
        <w:t>фифильного вещества, способного создавать ЛБ-слои. Полученный раствор наносят на водную поверхность ЛБ-ванны и с помощью подвижного барьера формируют монослой, с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>стоящий из упорядоченных молекул амфифильного вещества, между которыми зажаты молекулы полиаценов. При необходимом давлении сжатия полученный монослой пер</w:t>
      </w:r>
      <w:r w:rsidRPr="00D20064">
        <w:rPr>
          <w:spacing w:val="-2"/>
          <w:sz w:val="22"/>
          <w:szCs w:val="22"/>
        </w:rPr>
        <w:t>е</w:t>
      </w:r>
      <w:r w:rsidRPr="00D20064">
        <w:rPr>
          <w:spacing w:val="-2"/>
          <w:sz w:val="22"/>
          <w:szCs w:val="22"/>
        </w:rPr>
        <w:t>носят на поверхность электрода-сенсора, который помещается в качестве рабочего эле</w:t>
      </w:r>
      <w:r w:rsidRPr="00D20064">
        <w:rPr>
          <w:spacing w:val="-2"/>
          <w:sz w:val="22"/>
          <w:szCs w:val="22"/>
        </w:rPr>
        <w:t>к</w:t>
      </w:r>
      <w:r w:rsidRPr="00D20064">
        <w:rPr>
          <w:spacing w:val="-2"/>
          <w:sz w:val="22"/>
          <w:szCs w:val="22"/>
        </w:rPr>
        <w:t>трода в трехэлектродную ЭХЛ-ячейку. Ячейка заполняется водным раствором фонового электролита, в который добавлено необходимое количество сореагента (например, тр</w:t>
      </w:r>
      <w:r w:rsidRPr="00D20064">
        <w:rPr>
          <w:spacing w:val="-2"/>
          <w:sz w:val="22"/>
          <w:szCs w:val="22"/>
        </w:rPr>
        <w:t>и</w:t>
      </w:r>
      <w:r w:rsidRPr="00D20064">
        <w:rPr>
          <w:spacing w:val="-2"/>
          <w:sz w:val="22"/>
          <w:szCs w:val="22"/>
        </w:rPr>
        <w:t>пропиламина). К рабочему электроду прикладывается заданная потенциальная программа и измеряется интенсивность ЭХЛ определяемых полиаценов.</w:t>
      </w:r>
    </w:p>
    <w:p w:rsidR="00BB7B9A" w:rsidRPr="00D20064" w:rsidRDefault="00BB7B9A" w:rsidP="00BB7B9A">
      <w:pPr>
        <w:ind w:firstLine="567"/>
        <w:jc w:val="both"/>
        <w:outlineLvl w:val="0"/>
        <w:rPr>
          <w:spacing w:val="-2"/>
          <w:sz w:val="22"/>
          <w:szCs w:val="22"/>
        </w:rPr>
      </w:pPr>
      <w:r w:rsidRPr="00D20064">
        <w:rPr>
          <w:spacing w:val="-2"/>
          <w:sz w:val="22"/>
          <w:szCs w:val="22"/>
        </w:rPr>
        <w:t>Реализация предлагаемого метода требует решения ряда технологических задач, основные из которых - выбор ленгмюрогенного амфифильного вещества для формиров</w:t>
      </w:r>
      <w:r w:rsidRPr="00D20064">
        <w:rPr>
          <w:spacing w:val="-2"/>
          <w:sz w:val="22"/>
          <w:szCs w:val="22"/>
        </w:rPr>
        <w:t>а</w:t>
      </w:r>
      <w:r w:rsidRPr="00D20064">
        <w:rPr>
          <w:spacing w:val="-2"/>
          <w:sz w:val="22"/>
          <w:szCs w:val="22"/>
        </w:rPr>
        <w:t>ния ЛБ-слоя (материал матрицы), определение условий формирования упорядоченного (жи</w:t>
      </w:r>
      <w:r w:rsidRPr="00D20064">
        <w:rPr>
          <w:spacing w:val="-2"/>
          <w:sz w:val="22"/>
          <w:szCs w:val="22"/>
        </w:rPr>
        <w:t>д</w:t>
      </w:r>
      <w:r w:rsidRPr="00D20064">
        <w:rPr>
          <w:spacing w:val="-2"/>
          <w:sz w:val="22"/>
          <w:szCs w:val="22"/>
        </w:rPr>
        <w:t>кокристаллического) ЛБ-монослоя и способа его переноса с поверхности субфазы на электрод-сенсор, определение оптимального количества ЛБ-монослоев на электроде-сенсоре, выбор сореагента и его оптимальной концентрации. Для определения оптимал</w:t>
      </w:r>
      <w:r w:rsidRPr="00D20064">
        <w:rPr>
          <w:spacing w:val="-2"/>
          <w:sz w:val="22"/>
          <w:szCs w:val="22"/>
        </w:rPr>
        <w:t>ь</w:t>
      </w:r>
      <w:r w:rsidRPr="00D20064">
        <w:rPr>
          <w:spacing w:val="-2"/>
          <w:sz w:val="22"/>
          <w:szCs w:val="22"/>
        </w:rPr>
        <w:t xml:space="preserve">ных условий проведения предлагаемой аналитической </w:t>
      </w:r>
      <w:r w:rsidRPr="00D20064">
        <w:rPr>
          <w:spacing w:val="-2"/>
          <w:sz w:val="22"/>
          <w:szCs w:val="22"/>
        </w:rPr>
        <w:lastRenderedPageBreak/>
        <w:t>процедуры были проведены исследования модельной системы, в которой использовались п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>лиацены рубрен и 9,10-дифенилантрацен (ДФА).</w:t>
      </w:r>
    </w:p>
    <w:p w:rsidR="00BB7B9A" w:rsidRPr="00D20064" w:rsidRDefault="00BB7B9A" w:rsidP="00BB7B9A">
      <w:pPr>
        <w:ind w:firstLine="567"/>
        <w:jc w:val="both"/>
        <w:outlineLvl w:val="0"/>
        <w:rPr>
          <w:spacing w:val="-2"/>
          <w:sz w:val="22"/>
          <w:szCs w:val="22"/>
        </w:rPr>
      </w:pPr>
      <w:r w:rsidRPr="00D20064">
        <w:rPr>
          <w:b/>
          <w:spacing w:val="-2"/>
          <w:sz w:val="22"/>
          <w:szCs w:val="22"/>
        </w:rPr>
        <w:t>Сущность работы</w:t>
      </w:r>
    </w:p>
    <w:p w:rsidR="00BB7B9A" w:rsidRPr="00D20064" w:rsidRDefault="00BB7B9A" w:rsidP="00BB7B9A">
      <w:pPr>
        <w:ind w:firstLine="567"/>
        <w:jc w:val="both"/>
        <w:outlineLvl w:val="0"/>
        <w:rPr>
          <w:spacing w:val="-2"/>
          <w:sz w:val="22"/>
          <w:szCs w:val="22"/>
        </w:rPr>
      </w:pPr>
      <w:r w:rsidRPr="00D20064">
        <w:rPr>
          <w:spacing w:val="-2"/>
          <w:sz w:val="22"/>
          <w:szCs w:val="22"/>
        </w:rPr>
        <w:t>Для формирования монослоев на поверхности электродов-сенсоров использовалась ЛБ-ванна типа LT-102 производства фирмы «Microtestmachines Co». Поверхностная структура полученных монослоев контролировалась на наноуровне атомно-силовым микроскопом NT-206 той же фирмы. Аналитические исследования проводились при помощи ЭХЛ-анализатора ЭЛАН-3D методом циклической вольтамперометрии с одновр</w:t>
      </w:r>
      <w:r w:rsidRPr="00D20064">
        <w:rPr>
          <w:spacing w:val="-2"/>
          <w:sz w:val="22"/>
          <w:szCs w:val="22"/>
        </w:rPr>
        <w:t>е</w:t>
      </w:r>
      <w:r w:rsidRPr="00D20064">
        <w:rPr>
          <w:spacing w:val="-2"/>
          <w:sz w:val="22"/>
          <w:szCs w:val="22"/>
        </w:rPr>
        <w:t>менной регистрацией интенсивности ЭХЛ [3]. В этих измерениях скорость изменения п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>тенциала рабочего электрода составляла 100мВ/с. Для измерения интенсивности люм</w:t>
      </w:r>
      <w:r w:rsidRPr="00D20064">
        <w:rPr>
          <w:spacing w:val="-2"/>
          <w:sz w:val="22"/>
          <w:szCs w:val="22"/>
        </w:rPr>
        <w:t>и</w:t>
      </w:r>
      <w:r w:rsidRPr="00D20064">
        <w:rPr>
          <w:spacing w:val="-2"/>
          <w:sz w:val="22"/>
          <w:szCs w:val="22"/>
        </w:rPr>
        <w:t>несценции использовали фотоэлектронный умножитель с мультищелочным фотокатодом ФЭУ-140 при напряжении на катоде -1400В.</w:t>
      </w:r>
    </w:p>
    <w:p w:rsidR="00BB7B9A" w:rsidRPr="00D20064" w:rsidRDefault="00BB7B9A" w:rsidP="00BB7B9A">
      <w:pPr>
        <w:tabs>
          <w:tab w:val="left" w:pos="567"/>
        </w:tabs>
        <w:ind w:firstLine="567"/>
        <w:jc w:val="both"/>
        <w:outlineLvl w:val="0"/>
        <w:rPr>
          <w:spacing w:val="-2"/>
          <w:sz w:val="22"/>
          <w:szCs w:val="22"/>
        </w:rPr>
      </w:pPr>
      <w:r w:rsidRPr="00D20064">
        <w:rPr>
          <w:spacing w:val="-2"/>
          <w:sz w:val="22"/>
          <w:szCs w:val="22"/>
        </w:rPr>
        <w:t>Технология ЛБ позволяет получить моно- и мультислойные высокоорганизованные пленки с контролируемой толщиной, ориентацией и высокой поверхностной плотностью люминесцентных центров. Однако полиацены, в частности рубрен и ДФА, не являются амфифильными и не способны самостоятельно образовывать однородные и стабильные ленгмюровские монослои на поверхности водной субфазы и, таким образом, ЛБ-пленки. Одним из подходов к решению такой проблемы есть создание ЛБ-пленок смешанных бинарных систем на основе термодинамически стабильных амфифильних мон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>мерных или полимерных соединений с иммобилизованными в них молекулами полиаценов [4]. Гла</w:t>
      </w:r>
      <w:r w:rsidRPr="00D20064">
        <w:rPr>
          <w:spacing w:val="-2"/>
          <w:sz w:val="22"/>
          <w:szCs w:val="22"/>
        </w:rPr>
        <w:t>в</w:t>
      </w:r>
      <w:r w:rsidRPr="00D20064">
        <w:rPr>
          <w:spacing w:val="-2"/>
          <w:sz w:val="22"/>
          <w:szCs w:val="22"/>
        </w:rPr>
        <w:t>ное требование к компонентам - способность образовывать фазово-однородную систему. С учетом последнего, в качестве ленгмюрогенных матриц в работе использованы известные ленгмюрогенные как мономерные, так и полимерные соединения - стеариновая ки</w:t>
      </w:r>
      <w:r w:rsidRPr="00D20064">
        <w:rPr>
          <w:spacing w:val="-2"/>
          <w:sz w:val="22"/>
          <w:szCs w:val="22"/>
        </w:rPr>
        <w:t>с</w:t>
      </w:r>
      <w:r w:rsidRPr="00D20064">
        <w:rPr>
          <w:spacing w:val="-2"/>
          <w:sz w:val="22"/>
          <w:szCs w:val="22"/>
        </w:rPr>
        <w:t>лота, октадециловий спирт, полиметилметакрилат (ПММА), полиамидокислота и смесь полиамидокислоты и октадецилового спирта. Для всех этих веществ были исследованы условия формирования и переноса монослоев на прозрачные токопроводящие подложки из смеси оксидов олова и индия (ITO), определены люминесцентные свойства получе</w:t>
      </w:r>
      <w:r w:rsidRPr="00D20064">
        <w:rPr>
          <w:spacing w:val="-2"/>
          <w:sz w:val="22"/>
          <w:szCs w:val="22"/>
        </w:rPr>
        <w:t>н</w:t>
      </w:r>
      <w:r w:rsidRPr="00D20064">
        <w:rPr>
          <w:spacing w:val="-2"/>
          <w:sz w:val="22"/>
          <w:szCs w:val="22"/>
        </w:rPr>
        <w:t>ных ЛБ-пленок и разработана технология создания упорядоченных молекулярных стру</w:t>
      </w:r>
      <w:r w:rsidRPr="00D20064">
        <w:rPr>
          <w:spacing w:val="-2"/>
          <w:sz w:val="22"/>
          <w:szCs w:val="22"/>
        </w:rPr>
        <w:t>к</w:t>
      </w:r>
      <w:r w:rsidRPr="00D20064">
        <w:rPr>
          <w:spacing w:val="-2"/>
          <w:sz w:val="22"/>
          <w:szCs w:val="22"/>
        </w:rPr>
        <w:t>тур с инкорпорированными модельными полиаценами.</w:t>
      </w:r>
    </w:p>
    <w:p w:rsidR="00BB7B9A" w:rsidRPr="00D20064" w:rsidRDefault="00BB7B9A" w:rsidP="00BB7B9A">
      <w:pPr>
        <w:tabs>
          <w:tab w:val="left" w:pos="567"/>
        </w:tabs>
        <w:ind w:firstLine="567"/>
        <w:jc w:val="both"/>
        <w:outlineLvl w:val="0"/>
        <w:rPr>
          <w:spacing w:val="-2"/>
          <w:sz w:val="22"/>
          <w:szCs w:val="22"/>
        </w:rPr>
      </w:pPr>
      <w:r w:rsidRPr="00D20064">
        <w:rPr>
          <w:spacing w:val="-2"/>
          <w:sz w:val="22"/>
          <w:szCs w:val="22"/>
        </w:rPr>
        <w:t>Исследования показали, что во все отобранные матрицы удавалось инкорпорир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>вать до 50 мольных процентов модельных полиаценов без нарушения упорядоченности моносл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>ев. Самые лучшие результаты были достигнуты при использовании матрицы из ПММА – при одинаковой поверхностной концентрации полиаценов в матрице и одинаковом кол</w:t>
      </w:r>
      <w:r w:rsidRPr="00D20064">
        <w:rPr>
          <w:spacing w:val="-2"/>
          <w:sz w:val="22"/>
          <w:szCs w:val="22"/>
        </w:rPr>
        <w:t>и</w:t>
      </w:r>
      <w:r w:rsidRPr="00D20064">
        <w:rPr>
          <w:spacing w:val="-2"/>
          <w:sz w:val="22"/>
          <w:szCs w:val="22"/>
        </w:rPr>
        <w:t>честве перенесенных на подкладку монослоев интенсивность люминесценции для ЛБ-пленок системы ПММА/рубрен приблизительно в 2,5 раза больше, чем для с</w:t>
      </w:r>
      <w:r w:rsidRPr="00D20064">
        <w:rPr>
          <w:spacing w:val="-2"/>
          <w:sz w:val="22"/>
          <w:szCs w:val="22"/>
        </w:rPr>
        <w:t>и</w:t>
      </w:r>
      <w:r w:rsidRPr="00D20064">
        <w:rPr>
          <w:spacing w:val="-2"/>
          <w:sz w:val="22"/>
          <w:szCs w:val="22"/>
        </w:rPr>
        <w:t>стемы стеариновая кислота/рубрен, которая показала наихудшие результаты. Результаты люминесцентных исследований показали, что фактически в упорядоченную матрицу из ПММА удалось интеркалировать в 2,5 раза больше молекул модельных полиаценов, а их поверхностная концентрация составила (1÷2)∙10</w:t>
      </w:r>
      <w:r w:rsidRPr="00D20064">
        <w:rPr>
          <w:spacing w:val="-2"/>
          <w:sz w:val="22"/>
          <w:szCs w:val="22"/>
          <w:vertAlign w:val="superscript"/>
        </w:rPr>
        <w:t>14</w:t>
      </w:r>
      <w:r w:rsidRPr="00D20064">
        <w:rPr>
          <w:spacing w:val="-2"/>
          <w:sz w:val="22"/>
          <w:szCs w:val="22"/>
        </w:rPr>
        <w:t xml:space="preserve"> см</w:t>
      </w:r>
      <w:r w:rsidRPr="00D20064">
        <w:rPr>
          <w:spacing w:val="-2"/>
          <w:sz w:val="22"/>
          <w:szCs w:val="22"/>
          <w:vertAlign w:val="superscript"/>
        </w:rPr>
        <w:t>-2</w:t>
      </w:r>
      <w:r w:rsidRPr="00D20064">
        <w:rPr>
          <w:spacing w:val="-2"/>
          <w:sz w:val="22"/>
          <w:szCs w:val="22"/>
        </w:rPr>
        <w:t xml:space="preserve"> молекул. В дальнейшем все иссл</w:t>
      </w:r>
      <w:r w:rsidRPr="00D20064">
        <w:rPr>
          <w:spacing w:val="-2"/>
          <w:sz w:val="22"/>
          <w:szCs w:val="22"/>
        </w:rPr>
        <w:t>е</w:t>
      </w:r>
      <w:r w:rsidRPr="00D20064">
        <w:rPr>
          <w:spacing w:val="-2"/>
          <w:sz w:val="22"/>
          <w:szCs w:val="22"/>
        </w:rPr>
        <w:t>дования проводились только для матриц из ПММА.</w:t>
      </w:r>
    </w:p>
    <w:p w:rsidR="00BB7B9A" w:rsidRPr="00D20064" w:rsidRDefault="00BB7B9A" w:rsidP="00BB7B9A">
      <w:pPr>
        <w:ind w:firstLine="567"/>
        <w:jc w:val="both"/>
        <w:outlineLvl w:val="0"/>
        <w:rPr>
          <w:spacing w:val="-2"/>
          <w:sz w:val="22"/>
          <w:szCs w:val="22"/>
        </w:rPr>
      </w:pPr>
      <w:r w:rsidRPr="00D20064">
        <w:rPr>
          <w:spacing w:val="-2"/>
          <w:sz w:val="22"/>
          <w:szCs w:val="22"/>
        </w:rPr>
        <w:t>Анализ приведенного на рис. 1 атомно-силового изображения поверхности ITO-электрода, модифицированного ЛБ-слоями системы ПММА/рубрен, показывает, что полимерные молекулы ПММА свернуты в плоские глобулы размером около 100нм. Возможно, именно этим объясняется существенно большая по сравнению с другими иссл</w:t>
      </w:r>
      <w:r w:rsidRPr="00D20064">
        <w:rPr>
          <w:spacing w:val="-2"/>
          <w:sz w:val="22"/>
          <w:szCs w:val="22"/>
        </w:rPr>
        <w:t>е</w:t>
      </w:r>
      <w:r w:rsidRPr="00D20064">
        <w:rPr>
          <w:spacing w:val="-2"/>
          <w:sz w:val="22"/>
          <w:szCs w:val="22"/>
        </w:rPr>
        <w:t>дованными матрицами поверхностная концентрация модельных полиаценов. Вероятно, молекулы рубрена инкорпорированы между спиральными кольцами вертикально орие</w:t>
      </w:r>
      <w:r w:rsidRPr="00D20064">
        <w:rPr>
          <w:spacing w:val="-2"/>
          <w:sz w:val="22"/>
          <w:szCs w:val="22"/>
        </w:rPr>
        <w:t>н</w:t>
      </w:r>
      <w:r w:rsidRPr="00D20064">
        <w:rPr>
          <w:spacing w:val="-2"/>
          <w:sz w:val="22"/>
          <w:szCs w:val="22"/>
        </w:rPr>
        <w:t>тированных амфифильных мономерных звеньев ПММА.</w:t>
      </w:r>
    </w:p>
    <w:p w:rsidR="00BB7B9A" w:rsidRPr="00FE3F9B" w:rsidRDefault="00BB7B9A" w:rsidP="00BB7B9A">
      <w:pPr>
        <w:jc w:val="center"/>
        <w:rPr>
          <w:rFonts w:eastAsia="SimSu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96210" cy="25698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9A" w:rsidRPr="00635446" w:rsidRDefault="00BB7B9A" w:rsidP="00BB7B9A">
      <w:pPr>
        <w:ind w:firstLine="540"/>
        <w:jc w:val="center"/>
        <w:rPr>
          <w:sz w:val="22"/>
          <w:szCs w:val="22"/>
        </w:rPr>
      </w:pPr>
      <w:r w:rsidRPr="00635446">
        <w:rPr>
          <w:sz w:val="22"/>
          <w:szCs w:val="22"/>
        </w:rPr>
        <w:t>Рис. 1. Атомно-силовое изображение поверхности ITO электрода, модифицирова</w:t>
      </w:r>
      <w:r w:rsidRPr="00635446">
        <w:rPr>
          <w:sz w:val="22"/>
          <w:szCs w:val="22"/>
        </w:rPr>
        <w:t>н</w:t>
      </w:r>
      <w:r w:rsidRPr="00635446">
        <w:rPr>
          <w:sz w:val="22"/>
          <w:szCs w:val="22"/>
        </w:rPr>
        <w:t>ного ЛБ-слоями системы ПММА/рубрен</w:t>
      </w:r>
    </w:p>
    <w:p w:rsidR="00BB7B9A" w:rsidRPr="00D20064" w:rsidRDefault="00BB7B9A" w:rsidP="00BB7B9A">
      <w:pPr>
        <w:jc w:val="both"/>
        <w:outlineLvl w:val="0"/>
        <w:rPr>
          <w:sz w:val="16"/>
          <w:szCs w:val="16"/>
        </w:rPr>
      </w:pPr>
    </w:p>
    <w:p w:rsidR="00BB7B9A" w:rsidRPr="00D20064" w:rsidRDefault="00BB7B9A" w:rsidP="00BB7B9A">
      <w:pPr>
        <w:jc w:val="both"/>
        <w:outlineLvl w:val="0"/>
        <w:rPr>
          <w:spacing w:val="-2"/>
          <w:sz w:val="22"/>
          <w:szCs w:val="22"/>
        </w:rPr>
      </w:pPr>
      <w:r w:rsidRPr="00D20064">
        <w:rPr>
          <w:spacing w:val="-2"/>
          <w:sz w:val="22"/>
          <w:szCs w:val="22"/>
        </w:rPr>
        <w:tab/>
        <w:t>ЭХЛ-исследования ЛБ-монослоев на основе ПММА с включенными в них модел</w:t>
      </w:r>
      <w:r w:rsidRPr="00D20064">
        <w:rPr>
          <w:spacing w:val="-2"/>
          <w:sz w:val="22"/>
          <w:szCs w:val="22"/>
        </w:rPr>
        <w:t>ь</w:t>
      </w:r>
      <w:r w:rsidRPr="00D20064">
        <w:rPr>
          <w:spacing w:val="-2"/>
          <w:sz w:val="22"/>
          <w:szCs w:val="22"/>
        </w:rPr>
        <w:t>ными полиаценами (рубрен, ДФА) продемонстрировали возможность включения до (1÷2)∙10</w:t>
      </w:r>
      <w:r w:rsidRPr="00D20064">
        <w:rPr>
          <w:spacing w:val="-2"/>
          <w:sz w:val="22"/>
          <w:szCs w:val="22"/>
          <w:vertAlign w:val="superscript"/>
        </w:rPr>
        <w:t>14</w:t>
      </w:r>
      <w:r w:rsidRPr="00D20064">
        <w:rPr>
          <w:spacing w:val="-2"/>
          <w:sz w:val="22"/>
          <w:szCs w:val="22"/>
        </w:rPr>
        <w:t xml:space="preserve"> см</w:t>
      </w:r>
      <w:r w:rsidRPr="00D20064">
        <w:rPr>
          <w:spacing w:val="-2"/>
          <w:sz w:val="22"/>
          <w:szCs w:val="22"/>
          <w:vertAlign w:val="superscript"/>
        </w:rPr>
        <w:t>-2</w:t>
      </w:r>
      <w:r w:rsidRPr="00D20064">
        <w:rPr>
          <w:spacing w:val="-2"/>
          <w:sz w:val="22"/>
          <w:szCs w:val="22"/>
        </w:rPr>
        <w:t xml:space="preserve"> молекул полиаценов в матрицу из ПММА без нарушения ее упорядоченн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>сти. Такое предельное количество соответствует (1,7÷3,3)∙10</w:t>
      </w:r>
      <w:r w:rsidRPr="00D20064">
        <w:rPr>
          <w:spacing w:val="-2"/>
          <w:sz w:val="22"/>
          <w:szCs w:val="22"/>
          <w:vertAlign w:val="superscript"/>
        </w:rPr>
        <w:t>-10</w:t>
      </w:r>
      <w:r w:rsidRPr="00D20064">
        <w:rPr>
          <w:spacing w:val="-2"/>
          <w:sz w:val="22"/>
          <w:szCs w:val="22"/>
        </w:rPr>
        <w:t xml:space="preserve"> молей полиаценов в анализируемой пробе. Зависимости полученного для данного количества полиаценов анал</w:t>
      </w:r>
      <w:r w:rsidRPr="00D20064">
        <w:rPr>
          <w:spacing w:val="-2"/>
          <w:sz w:val="22"/>
          <w:szCs w:val="22"/>
        </w:rPr>
        <w:t>и</w:t>
      </w:r>
      <w:r w:rsidRPr="00D20064">
        <w:rPr>
          <w:spacing w:val="-2"/>
          <w:sz w:val="22"/>
          <w:szCs w:val="22"/>
        </w:rPr>
        <w:t>тического сигнала от приложенного потенциала приведены на рис. 2. При таких условиях аналитический сигнал (фототок ЭХЛ) превышал шум в 16 тысяч раз, что позволяет и</w:t>
      </w:r>
      <w:r w:rsidRPr="00D20064">
        <w:rPr>
          <w:spacing w:val="-2"/>
          <w:sz w:val="22"/>
          <w:szCs w:val="22"/>
        </w:rPr>
        <w:t>с</w:t>
      </w:r>
      <w:r w:rsidRPr="00D20064">
        <w:rPr>
          <w:spacing w:val="-2"/>
          <w:sz w:val="22"/>
          <w:szCs w:val="22"/>
        </w:rPr>
        <w:t>пользовать пробы с соответственно уменьшенным содержанием полиаценов.</w:t>
      </w:r>
    </w:p>
    <w:p w:rsidR="00BB7B9A" w:rsidRPr="00FE3F9B" w:rsidRDefault="00BB7B9A" w:rsidP="00BB7B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1105" cy="1828800"/>
            <wp:effectExtent l="19050" t="0" r="4445" b="0"/>
            <wp:docPr id="2" name="Рисунок 2" descr="Fig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2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89" t="5199" r="4446" b="2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538095" cy="1828800"/>
            <wp:effectExtent l="19050" t="0" r="0" b="0"/>
            <wp:docPr id="3" name="Рисунок 3" descr="Fig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2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19" t="5832" r="4167" b="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9A" w:rsidRPr="00FF66AA" w:rsidRDefault="00BB7B9A" w:rsidP="00BB7B9A">
      <w:pPr>
        <w:ind w:firstLine="440"/>
        <w:jc w:val="both"/>
        <w:rPr>
          <w:sz w:val="22"/>
          <w:szCs w:val="22"/>
        </w:rPr>
      </w:pPr>
      <w:r w:rsidRPr="00FF66AA">
        <w:rPr>
          <w:sz w:val="22"/>
          <w:szCs w:val="22"/>
        </w:rPr>
        <w:t xml:space="preserve">                             а)                                                                 б)</w:t>
      </w:r>
    </w:p>
    <w:p w:rsidR="00BB7B9A" w:rsidRDefault="00BB7B9A" w:rsidP="00BB7B9A">
      <w:pPr>
        <w:ind w:firstLine="440"/>
        <w:jc w:val="both"/>
        <w:rPr>
          <w:sz w:val="22"/>
          <w:szCs w:val="22"/>
        </w:rPr>
      </w:pPr>
      <w:r w:rsidRPr="00FF66AA">
        <w:rPr>
          <w:sz w:val="22"/>
          <w:szCs w:val="22"/>
        </w:rPr>
        <w:t>Рис. 2. Анодные вольтамперограммы (ток) и соответствующая эмиссия ЭХЛ (фототок) ІТО электрода площадью 75мм</w:t>
      </w:r>
      <w:r w:rsidRPr="00FF66AA">
        <w:rPr>
          <w:sz w:val="22"/>
          <w:szCs w:val="22"/>
          <w:vertAlign w:val="superscript"/>
        </w:rPr>
        <w:t>2</w:t>
      </w:r>
      <w:r w:rsidRPr="00FF66AA">
        <w:rPr>
          <w:sz w:val="22"/>
          <w:szCs w:val="22"/>
        </w:rPr>
        <w:t>, модифицированного ЛБ-пленками ПММА с инкорпорированным рубреном (а) и ДФА (б) (растворитель - H</w:t>
      </w:r>
      <w:r w:rsidRPr="00FF66AA">
        <w:rPr>
          <w:sz w:val="22"/>
          <w:szCs w:val="22"/>
          <w:vertAlign w:val="subscript"/>
        </w:rPr>
        <w:t>2</w:t>
      </w:r>
      <w:r w:rsidRPr="00FF66AA">
        <w:rPr>
          <w:sz w:val="22"/>
          <w:szCs w:val="22"/>
        </w:rPr>
        <w:t>O; сореагент – 10мМ трипропиламин; фоновый электролит - 0,1М LiClO</w:t>
      </w:r>
      <w:r w:rsidRPr="00FF66AA">
        <w:rPr>
          <w:sz w:val="22"/>
          <w:szCs w:val="22"/>
          <w:vertAlign w:val="subscript"/>
        </w:rPr>
        <w:t>4</w:t>
      </w:r>
      <w:r w:rsidRPr="00FF66AA">
        <w:rPr>
          <w:sz w:val="22"/>
          <w:szCs w:val="22"/>
        </w:rPr>
        <w:t>)</w:t>
      </w:r>
    </w:p>
    <w:p w:rsidR="00BB7B9A" w:rsidRPr="00D20064" w:rsidRDefault="00BB7B9A" w:rsidP="00BB7B9A">
      <w:pPr>
        <w:ind w:firstLine="440"/>
        <w:jc w:val="both"/>
        <w:rPr>
          <w:sz w:val="16"/>
          <w:szCs w:val="16"/>
        </w:rPr>
      </w:pPr>
    </w:p>
    <w:p w:rsidR="00BB7B9A" w:rsidRPr="00D20064" w:rsidRDefault="00BB7B9A" w:rsidP="00BB7B9A">
      <w:pPr>
        <w:jc w:val="both"/>
        <w:outlineLvl w:val="0"/>
        <w:rPr>
          <w:spacing w:val="-2"/>
          <w:sz w:val="22"/>
          <w:szCs w:val="22"/>
        </w:rPr>
      </w:pPr>
      <w:r w:rsidRPr="00D20064">
        <w:rPr>
          <w:spacing w:val="-2"/>
          <w:sz w:val="22"/>
          <w:szCs w:val="22"/>
        </w:rPr>
        <w:tab/>
        <w:t>Как показали исследования, максимальная интенсивность ЭХЛ достигается при количестве ЛБ-монослоев равном трем. Однако, с учетом того, что каждый дополнител</w:t>
      </w:r>
      <w:r w:rsidRPr="00D20064">
        <w:rPr>
          <w:spacing w:val="-2"/>
          <w:sz w:val="22"/>
          <w:szCs w:val="22"/>
        </w:rPr>
        <w:t>ь</w:t>
      </w:r>
      <w:r w:rsidRPr="00D20064">
        <w:rPr>
          <w:spacing w:val="-2"/>
          <w:sz w:val="22"/>
          <w:szCs w:val="22"/>
        </w:rPr>
        <w:t>ный слой требует соответствующего увеличения количества полиаценов в пробе, максимальная чувств</w:t>
      </w:r>
      <w:r w:rsidRPr="00D20064">
        <w:rPr>
          <w:spacing w:val="-2"/>
          <w:sz w:val="22"/>
          <w:szCs w:val="22"/>
        </w:rPr>
        <w:t>и</w:t>
      </w:r>
      <w:r w:rsidRPr="00D20064">
        <w:rPr>
          <w:spacing w:val="-2"/>
          <w:sz w:val="22"/>
          <w:szCs w:val="22"/>
        </w:rPr>
        <w:t>тельность анализа достигается при одном ЛБ-монослое.</w:t>
      </w:r>
    </w:p>
    <w:p w:rsidR="00BB7B9A" w:rsidRPr="00D20064" w:rsidRDefault="00BB7B9A" w:rsidP="00BB7B9A">
      <w:pPr>
        <w:jc w:val="both"/>
        <w:outlineLvl w:val="0"/>
        <w:rPr>
          <w:spacing w:val="-2"/>
          <w:sz w:val="22"/>
          <w:szCs w:val="22"/>
        </w:rPr>
      </w:pPr>
      <w:r w:rsidRPr="00D20064">
        <w:rPr>
          <w:spacing w:val="-2"/>
          <w:sz w:val="22"/>
          <w:szCs w:val="22"/>
        </w:rPr>
        <w:tab/>
        <w:t>Для получения ЭХЛ в водных растворах, где электролиз проводится только в ано</w:t>
      </w:r>
      <w:r w:rsidRPr="00D20064">
        <w:rPr>
          <w:spacing w:val="-2"/>
          <w:sz w:val="22"/>
          <w:szCs w:val="22"/>
        </w:rPr>
        <w:t>д</w:t>
      </w:r>
      <w:r w:rsidRPr="00D20064">
        <w:rPr>
          <w:spacing w:val="-2"/>
          <w:sz w:val="22"/>
          <w:szCs w:val="22"/>
        </w:rPr>
        <w:t>ной области, в состав раствора необходимо вводить сореагент [2]. Наиболее часто в качестве сореагента используют трипропиламин. Максимальный аналитический сигнал д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>стигается при концентрации трипропиламина равной 10мМ.</w:t>
      </w:r>
    </w:p>
    <w:p w:rsidR="00BB7B9A" w:rsidRPr="00D20064" w:rsidRDefault="00BB7B9A" w:rsidP="00BB7B9A">
      <w:pPr>
        <w:jc w:val="both"/>
        <w:outlineLvl w:val="0"/>
        <w:rPr>
          <w:b/>
          <w:spacing w:val="-2"/>
          <w:sz w:val="22"/>
          <w:szCs w:val="22"/>
        </w:rPr>
      </w:pPr>
      <w:r w:rsidRPr="00D20064">
        <w:rPr>
          <w:spacing w:val="-2"/>
          <w:sz w:val="22"/>
          <w:szCs w:val="22"/>
        </w:rPr>
        <w:tab/>
      </w:r>
      <w:r w:rsidRPr="00D20064">
        <w:rPr>
          <w:b/>
          <w:spacing w:val="-2"/>
          <w:sz w:val="22"/>
          <w:szCs w:val="22"/>
        </w:rPr>
        <w:t>Выводы</w:t>
      </w:r>
    </w:p>
    <w:p w:rsidR="00BB7B9A" w:rsidRPr="00D20064" w:rsidRDefault="00BB7B9A" w:rsidP="00BB7B9A">
      <w:pPr>
        <w:jc w:val="both"/>
        <w:outlineLvl w:val="0"/>
        <w:rPr>
          <w:spacing w:val="-2"/>
          <w:sz w:val="22"/>
          <w:szCs w:val="22"/>
        </w:rPr>
      </w:pPr>
      <w:r w:rsidRPr="00D20064">
        <w:rPr>
          <w:spacing w:val="-2"/>
          <w:sz w:val="22"/>
          <w:szCs w:val="22"/>
        </w:rPr>
        <w:tab/>
        <w:t>Полученные на модельных системах экспериментальные результаты подтверждают значительное увеличение чувствительности электрохемилюминесцентного определения полиаценов за счет использования предложенной микросенсорной технологии. Исслед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 xml:space="preserve">ванная технология может быть использована в высокочувствительных ЭХЛ-сенсорах, позволяющих определять </w:t>
      </w:r>
      <w:r w:rsidRPr="00D20064">
        <w:rPr>
          <w:spacing w:val="-2"/>
          <w:sz w:val="22"/>
          <w:szCs w:val="22"/>
        </w:rPr>
        <w:lastRenderedPageBreak/>
        <w:t>полиацены при их содержании в анализируемой пробе в инте</w:t>
      </w:r>
      <w:r w:rsidRPr="00D20064">
        <w:rPr>
          <w:spacing w:val="-2"/>
          <w:sz w:val="22"/>
          <w:szCs w:val="22"/>
        </w:rPr>
        <w:t>р</w:t>
      </w:r>
      <w:r w:rsidRPr="00D20064">
        <w:rPr>
          <w:spacing w:val="-2"/>
          <w:sz w:val="22"/>
          <w:szCs w:val="22"/>
        </w:rPr>
        <w:t>вале 10</w:t>
      </w:r>
      <w:r w:rsidRPr="00D20064">
        <w:rPr>
          <w:spacing w:val="-2"/>
          <w:sz w:val="22"/>
          <w:szCs w:val="22"/>
          <w:vertAlign w:val="superscript"/>
        </w:rPr>
        <w:t>-10</w:t>
      </w:r>
      <w:r w:rsidRPr="00D20064">
        <w:rPr>
          <w:spacing w:val="-2"/>
          <w:sz w:val="22"/>
          <w:szCs w:val="22"/>
        </w:rPr>
        <w:t>- 10</w:t>
      </w:r>
      <w:r w:rsidRPr="00D20064">
        <w:rPr>
          <w:spacing w:val="-2"/>
          <w:sz w:val="22"/>
          <w:szCs w:val="22"/>
          <w:vertAlign w:val="superscript"/>
        </w:rPr>
        <w:t>-13</w:t>
      </w:r>
      <w:r w:rsidRPr="00D20064">
        <w:rPr>
          <w:spacing w:val="-2"/>
          <w:sz w:val="22"/>
          <w:szCs w:val="22"/>
        </w:rPr>
        <w:t xml:space="preserve"> молей. Проведенные на модельных системах исследования позволили найти оптимальные условия определения полиаценов: материал прозрачного электрода-сенсора – ITO с удельным сопротивлением не более 30 Ом/см</w:t>
      </w:r>
      <w:r w:rsidRPr="00D20064">
        <w:rPr>
          <w:spacing w:val="-2"/>
          <w:sz w:val="22"/>
          <w:szCs w:val="22"/>
          <w:vertAlign w:val="superscript"/>
        </w:rPr>
        <w:t>2</w:t>
      </w:r>
      <w:r w:rsidRPr="00D20064">
        <w:rPr>
          <w:spacing w:val="-2"/>
          <w:sz w:val="22"/>
          <w:szCs w:val="22"/>
        </w:rPr>
        <w:t>; материал ЛБ-матрицы – ПММА; количество ЛБ-монослоев – 1; поверхностное давление при нанесении моносл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>ев - 14÷16 мН/м; сореагент – 10мМ трипропиламин.</w:t>
      </w:r>
    </w:p>
    <w:p w:rsidR="00BB7B9A" w:rsidRPr="00D20064" w:rsidRDefault="00BB7B9A" w:rsidP="00BB7B9A">
      <w:pPr>
        <w:jc w:val="both"/>
        <w:outlineLvl w:val="0"/>
        <w:rPr>
          <w:spacing w:val="-2"/>
          <w:sz w:val="22"/>
          <w:szCs w:val="22"/>
        </w:rPr>
      </w:pPr>
      <w:r w:rsidRPr="00D20064">
        <w:rPr>
          <w:spacing w:val="-2"/>
          <w:sz w:val="22"/>
          <w:szCs w:val="22"/>
        </w:rPr>
        <w:tab/>
        <w:t>Данная работа выполнена по программе международного проекта 5067 Украинск</w:t>
      </w:r>
      <w:r w:rsidRPr="00D20064">
        <w:rPr>
          <w:spacing w:val="-2"/>
          <w:sz w:val="22"/>
          <w:szCs w:val="22"/>
        </w:rPr>
        <w:t>о</w:t>
      </w:r>
      <w:r w:rsidRPr="00D20064">
        <w:rPr>
          <w:spacing w:val="-2"/>
          <w:sz w:val="22"/>
          <w:szCs w:val="22"/>
        </w:rPr>
        <w:t>го научно-технологического центра, руководитель – проф. Рожицкий Н.Н.</w:t>
      </w:r>
    </w:p>
    <w:p w:rsidR="00BB7B9A" w:rsidRPr="004967E9" w:rsidRDefault="00BB7B9A" w:rsidP="00BB7B9A">
      <w:pPr>
        <w:jc w:val="center"/>
      </w:pPr>
      <w:r>
        <w:rPr>
          <w:noProof/>
        </w:rPr>
        <w:drawing>
          <wp:inline distT="0" distB="0" distL="0" distR="0">
            <wp:extent cx="3736340" cy="2364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9A" w:rsidRPr="0015288B" w:rsidRDefault="00BB7B9A" w:rsidP="00BB7B9A">
      <w:pPr>
        <w:ind w:firstLine="540"/>
        <w:jc w:val="center"/>
        <w:rPr>
          <w:sz w:val="22"/>
          <w:szCs w:val="22"/>
        </w:rPr>
      </w:pPr>
      <w:r w:rsidRPr="0015288B">
        <w:rPr>
          <w:sz w:val="22"/>
          <w:szCs w:val="22"/>
        </w:rPr>
        <w:t>Рис. 3 – Зависимость интенсивности ЕХЛ (фототок) разработанного сенсора от п</w:t>
      </w:r>
      <w:r w:rsidRPr="0015288B">
        <w:rPr>
          <w:sz w:val="22"/>
          <w:szCs w:val="22"/>
        </w:rPr>
        <w:t>о</w:t>
      </w:r>
      <w:r w:rsidRPr="0015288B">
        <w:rPr>
          <w:sz w:val="22"/>
          <w:szCs w:val="22"/>
        </w:rPr>
        <w:t>верхностной концентрации модельного полиацена. Поверхностная структура – 1 слой ПММА/рубрен; активная площадь рабочего электрода 0,75см</w:t>
      </w:r>
      <w:r w:rsidRPr="0015288B">
        <w:rPr>
          <w:sz w:val="22"/>
          <w:szCs w:val="22"/>
          <w:vertAlign w:val="superscript"/>
        </w:rPr>
        <w:t>2</w:t>
      </w:r>
      <w:r w:rsidRPr="0015288B">
        <w:rPr>
          <w:sz w:val="22"/>
          <w:szCs w:val="22"/>
        </w:rPr>
        <w:t>; растворитель – вода; фоновый электролит - 0,1M NaClO</w:t>
      </w:r>
      <w:r w:rsidRPr="0015288B">
        <w:rPr>
          <w:sz w:val="22"/>
          <w:szCs w:val="22"/>
          <w:vertAlign w:val="subscript"/>
        </w:rPr>
        <w:t>4</w:t>
      </w:r>
      <w:r w:rsidRPr="0015288B">
        <w:rPr>
          <w:sz w:val="22"/>
          <w:szCs w:val="22"/>
        </w:rPr>
        <w:t>; сореагент – 10</w:t>
      </w:r>
      <w:r>
        <w:rPr>
          <w:sz w:val="22"/>
          <w:szCs w:val="22"/>
        </w:rPr>
        <w:t>мМ</w:t>
      </w:r>
      <w:r w:rsidRPr="0015288B">
        <w:rPr>
          <w:sz w:val="22"/>
          <w:szCs w:val="22"/>
        </w:rPr>
        <w:t xml:space="preserve"> трипропил</w:t>
      </w:r>
      <w:r w:rsidRPr="0015288B">
        <w:rPr>
          <w:sz w:val="22"/>
          <w:szCs w:val="22"/>
        </w:rPr>
        <w:t>а</w:t>
      </w:r>
      <w:r w:rsidRPr="0015288B">
        <w:rPr>
          <w:sz w:val="22"/>
          <w:szCs w:val="22"/>
        </w:rPr>
        <w:t>мин.</w:t>
      </w:r>
    </w:p>
    <w:p w:rsidR="00BB7B9A" w:rsidRPr="00977A6C" w:rsidRDefault="00BB7B9A" w:rsidP="00BB7B9A">
      <w:pPr>
        <w:jc w:val="both"/>
        <w:outlineLvl w:val="0"/>
        <w:rPr>
          <w:sz w:val="22"/>
          <w:szCs w:val="22"/>
        </w:rPr>
      </w:pPr>
    </w:p>
    <w:p w:rsidR="00BB7B9A" w:rsidRPr="00D20064" w:rsidRDefault="00BB7B9A" w:rsidP="00BB7B9A">
      <w:pPr>
        <w:jc w:val="both"/>
        <w:outlineLvl w:val="0"/>
        <w:rPr>
          <w:sz w:val="22"/>
          <w:szCs w:val="22"/>
          <w:lang w:val="uk-UA"/>
        </w:rPr>
      </w:pPr>
      <w:r w:rsidRPr="00977A6C">
        <w:rPr>
          <w:b/>
          <w:sz w:val="22"/>
          <w:szCs w:val="22"/>
        </w:rPr>
        <w:t>Список литературы</w:t>
      </w:r>
      <w:r>
        <w:rPr>
          <w:b/>
          <w:sz w:val="22"/>
          <w:szCs w:val="22"/>
          <w:lang w:val="uk-UA"/>
        </w:rPr>
        <w:t>:</w:t>
      </w:r>
    </w:p>
    <w:p w:rsidR="00BB7B9A" w:rsidRPr="00C83B51" w:rsidRDefault="00BB7B9A" w:rsidP="00BB7B9A">
      <w:pPr>
        <w:tabs>
          <w:tab w:val="left" w:pos="0"/>
        </w:tabs>
        <w:jc w:val="both"/>
        <w:outlineLvl w:val="0"/>
        <w:rPr>
          <w:sz w:val="22"/>
          <w:szCs w:val="22"/>
        </w:rPr>
      </w:pPr>
      <w:r w:rsidRPr="00977A6C">
        <w:rPr>
          <w:sz w:val="22"/>
          <w:szCs w:val="22"/>
          <w:lang w:val="uk-UA"/>
        </w:rPr>
        <w:t xml:space="preserve">1. </w:t>
      </w:r>
      <w:r w:rsidRPr="00997E89">
        <w:rPr>
          <w:sz w:val="22"/>
          <w:szCs w:val="22"/>
        </w:rPr>
        <w:t>Рожицкий, Н.Н. Электрохимическая люминесценция [Текст] : монография / Н. Н. Рожицкий, А. И. Бых, М. А. Красноголовец. — Х. : ХТУРЭ, 2000. — 320 с. — ISBN 5-7763-2728-8.</w:t>
      </w:r>
    </w:p>
    <w:p w:rsidR="00BB7B9A" w:rsidRPr="00DE28AE" w:rsidRDefault="00BB7B9A" w:rsidP="00BB7B9A">
      <w:pPr>
        <w:tabs>
          <w:tab w:val="left" w:pos="0"/>
        </w:tabs>
        <w:jc w:val="both"/>
        <w:outlineLvl w:val="0"/>
        <w:rPr>
          <w:iCs/>
          <w:sz w:val="22"/>
          <w:szCs w:val="22"/>
          <w:lang w:val="en-US"/>
        </w:rPr>
      </w:pPr>
      <w:r w:rsidRPr="00DE28AE">
        <w:rPr>
          <w:sz w:val="22"/>
          <w:szCs w:val="22"/>
          <w:lang w:val="en-US"/>
        </w:rPr>
        <w:t xml:space="preserve">2. </w:t>
      </w:r>
      <w:r w:rsidRPr="00DE28AE">
        <w:rPr>
          <w:iCs/>
          <w:sz w:val="22"/>
          <w:szCs w:val="22"/>
          <w:lang w:val="en-US"/>
        </w:rPr>
        <w:t>Zholudov, Y. Aqueous electrochemiluminescence of polycyclic aromatic hydrocarbons immobilized into Langmuir-Blodgett film at the electrode [</w:t>
      </w:r>
      <w:r w:rsidRPr="00997E89">
        <w:rPr>
          <w:iCs/>
          <w:sz w:val="22"/>
          <w:szCs w:val="22"/>
        </w:rPr>
        <w:t>Текст</w:t>
      </w:r>
      <w:r w:rsidRPr="00DE28AE">
        <w:rPr>
          <w:iCs/>
          <w:sz w:val="22"/>
          <w:szCs w:val="22"/>
          <w:lang w:val="en-US"/>
        </w:rPr>
        <w:t xml:space="preserve">] / Y. Zholudov, D. Snizhko, A. Kukoba, H. Bilash, M. Rozhitskii // Electrochimica Acta. — 2008. — Vol. 54, Iss. 2, — </w:t>
      </w:r>
      <w:r w:rsidRPr="00997E89">
        <w:rPr>
          <w:iCs/>
          <w:sz w:val="22"/>
          <w:szCs w:val="22"/>
        </w:rPr>
        <w:t>Р</w:t>
      </w:r>
      <w:r w:rsidRPr="00DE28AE">
        <w:rPr>
          <w:iCs/>
          <w:sz w:val="22"/>
          <w:szCs w:val="22"/>
          <w:lang w:val="en-US"/>
        </w:rPr>
        <w:t>. 360—363.</w:t>
      </w:r>
    </w:p>
    <w:p w:rsidR="00BB7B9A" w:rsidRPr="00DE28AE" w:rsidRDefault="00BB7B9A" w:rsidP="00BB7B9A">
      <w:pPr>
        <w:tabs>
          <w:tab w:val="left" w:pos="0"/>
        </w:tabs>
        <w:jc w:val="both"/>
        <w:outlineLvl w:val="0"/>
        <w:rPr>
          <w:iCs/>
          <w:sz w:val="22"/>
          <w:szCs w:val="22"/>
          <w:lang w:val="en-US"/>
        </w:rPr>
      </w:pPr>
      <w:r w:rsidRPr="00DE28AE">
        <w:rPr>
          <w:sz w:val="22"/>
          <w:szCs w:val="22"/>
          <w:lang w:val="en-US"/>
        </w:rPr>
        <w:t xml:space="preserve">3. </w:t>
      </w:r>
      <w:r w:rsidRPr="00997E89">
        <w:rPr>
          <w:iCs/>
          <w:sz w:val="22"/>
          <w:szCs w:val="22"/>
          <w:lang w:val="uk-UA"/>
        </w:rPr>
        <w:t>Жолудов, Ю.Т. Електрохемілюмінесцентний аналізатор ЕЛАН-3d для біомеди</w:t>
      </w:r>
      <w:r w:rsidRPr="00997E89">
        <w:rPr>
          <w:iCs/>
          <w:sz w:val="22"/>
          <w:szCs w:val="22"/>
          <w:lang w:val="uk-UA"/>
        </w:rPr>
        <w:t>ч</w:t>
      </w:r>
      <w:r w:rsidRPr="00997E89">
        <w:rPr>
          <w:iCs/>
          <w:sz w:val="22"/>
          <w:szCs w:val="22"/>
          <w:lang w:val="uk-UA"/>
        </w:rPr>
        <w:t xml:space="preserve">них досліджень </w:t>
      </w:r>
      <w:r w:rsidRPr="00DE28AE">
        <w:rPr>
          <w:iCs/>
          <w:sz w:val="22"/>
          <w:szCs w:val="22"/>
          <w:lang w:val="en-US"/>
        </w:rPr>
        <w:t>[</w:t>
      </w:r>
      <w:r w:rsidRPr="00997E89">
        <w:rPr>
          <w:iCs/>
          <w:sz w:val="22"/>
          <w:szCs w:val="22"/>
        </w:rPr>
        <w:t>Текст</w:t>
      </w:r>
      <w:r w:rsidRPr="00DE28AE">
        <w:rPr>
          <w:iCs/>
          <w:sz w:val="22"/>
          <w:szCs w:val="22"/>
          <w:lang w:val="en-US"/>
        </w:rPr>
        <w:t xml:space="preserve">] / </w:t>
      </w:r>
      <w:r w:rsidRPr="00997E89">
        <w:rPr>
          <w:iCs/>
          <w:sz w:val="22"/>
          <w:szCs w:val="22"/>
          <w:lang w:val="uk-UA"/>
        </w:rPr>
        <w:t>Ю.</w:t>
      </w:r>
      <w:r w:rsidRPr="00DE28AE">
        <w:rPr>
          <w:iCs/>
          <w:sz w:val="22"/>
          <w:szCs w:val="22"/>
          <w:lang w:val="en-US"/>
        </w:rPr>
        <w:t xml:space="preserve"> </w:t>
      </w:r>
      <w:r w:rsidRPr="00997E89">
        <w:rPr>
          <w:iCs/>
          <w:sz w:val="22"/>
          <w:szCs w:val="22"/>
          <w:lang w:val="uk-UA"/>
        </w:rPr>
        <w:t>Т. Жолудов, Д.</w:t>
      </w:r>
      <w:r w:rsidRPr="00DE28AE">
        <w:rPr>
          <w:iCs/>
          <w:sz w:val="22"/>
          <w:szCs w:val="22"/>
          <w:lang w:val="en-US"/>
        </w:rPr>
        <w:t xml:space="preserve"> </w:t>
      </w:r>
      <w:r w:rsidRPr="00997E89">
        <w:rPr>
          <w:iCs/>
          <w:sz w:val="22"/>
          <w:szCs w:val="22"/>
          <w:lang w:val="uk-UA"/>
        </w:rPr>
        <w:t>В. Сніжко, А.</w:t>
      </w:r>
      <w:r w:rsidRPr="00DE28AE">
        <w:rPr>
          <w:iCs/>
          <w:sz w:val="22"/>
          <w:szCs w:val="22"/>
          <w:lang w:val="en-US"/>
        </w:rPr>
        <w:t xml:space="preserve"> </w:t>
      </w:r>
      <w:r w:rsidRPr="00997E89">
        <w:rPr>
          <w:iCs/>
          <w:sz w:val="22"/>
          <w:szCs w:val="22"/>
          <w:lang w:val="uk-UA"/>
        </w:rPr>
        <w:t>В. Кукоба, О.</w:t>
      </w:r>
      <w:r w:rsidRPr="00DE28AE">
        <w:rPr>
          <w:iCs/>
          <w:sz w:val="22"/>
          <w:szCs w:val="22"/>
          <w:lang w:val="en-US"/>
        </w:rPr>
        <w:t xml:space="preserve"> </w:t>
      </w:r>
      <w:r w:rsidRPr="00997E89">
        <w:rPr>
          <w:iCs/>
          <w:sz w:val="22"/>
          <w:szCs w:val="22"/>
          <w:lang w:val="uk-UA"/>
        </w:rPr>
        <w:t>М. Білаш, М.</w:t>
      </w:r>
      <w:r w:rsidRPr="00DE28AE">
        <w:rPr>
          <w:iCs/>
          <w:sz w:val="22"/>
          <w:szCs w:val="22"/>
          <w:lang w:val="en-US"/>
        </w:rPr>
        <w:t xml:space="preserve"> </w:t>
      </w:r>
      <w:r w:rsidRPr="00997E89">
        <w:rPr>
          <w:iCs/>
          <w:sz w:val="22"/>
          <w:szCs w:val="22"/>
          <w:lang w:val="uk-UA"/>
        </w:rPr>
        <w:t xml:space="preserve">М. Рожицький // Радіотехніка: Всеукр. міжвід. наук.-техн. зб. </w:t>
      </w:r>
      <w:r w:rsidRPr="00DE28AE">
        <w:rPr>
          <w:iCs/>
          <w:sz w:val="22"/>
          <w:szCs w:val="22"/>
          <w:lang w:val="en-US"/>
        </w:rPr>
        <w:t>—</w:t>
      </w:r>
      <w:r w:rsidRPr="00997E89">
        <w:rPr>
          <w:iCs/>
          <w:sz w:val="22"/>
          <w:szCs w:val="22"/>
          <w:lang w:val="uk-UA"/>
        </w:rPr>
        <w:t xml:space="preserve"> 2009. </w:t>
      </w:r>
      <w:r w:rsidRPr="00DE28AE">
        <w:rPr>
          <w:iCs/>
          <w:sz w:val="22"/>
          <w:szCs w:val="22"/>
          <w:lang w:val="en-US"/>
        </w:rPr>
        <w:t>—</w:t>
      </w:r>
      <w:r w:rsidRPr="00997E89">
        <w:rPr>
          <w:iCs/>
          <w:sz w:val="22"/>
          <w:szCs w:val="22"/>
          <w:lang w:val="uk-UA"/>
        </w:rPr>
        <w:t xml:space="preserve"> Вип. 158. </w:t>
      </w:r>
      <w:r w:rsidRPr="00DE28AE">
        <w:rPr>
          <w:iCs/>
          <w:sz w:val="22"/>
          <w:szCs w:val="22"/>
          <w:lang w:val="en-US"/>
        </w:rPr>
        <w:t>—</w:t>
      </w:r>
      <w:r w:rsidRPr="00997E89">
        <w:rPr>
          <w:iCs/>
          <w:sz w:val="22"/>
          <w:szCs w:val="22"/>
          <w:lang w:val="uk-UA"/>
        </w:rPr>
        <w:t xml:space="preserve"> С. 180</w:t>
      </w:r>
      <w:r w:rsidRPr="00DE28AE">
        <w:rPr>
          <w:iCs/>
          <w:sz w:val="22"/>
          <w:szCs w:val="22"/>
          <w:lang w:val="en-US"/>
        </w:rPr>
        <w:t>—</w:t>
      </w:r>
      <w:r w:rsidRPr="00997E89">
        <w:rPr>
          <w:iCs/>
          <w:sz w:val="22"/>
          <w:szCs w:val="22"/>
          <w:lang w:val="uk-UA"/>
        </w:rPr>
        <w:t>186.</w:t>
      </w:r>
    </w:p>
    <w:p w:rsidR="00BB7B9A" w:rsidRDefault="00BB7B9A" w:rsidP="00BB7B9A">
      <w:pPr>
        <w:tabs>
          <w:tab w:val="left" w:pos="0"/>
        </w:tabs>
        <w:jc w:val="both"/>
        <w:outlineLvl w:val="0"/>
        <w:rPr>
          <w:iCs/>
          <w:sz w:val="22"/>
          <w:szCs w:val="22"/>
        </w:rPr>
      </w:pPr>
      <w:r>
        <w:rPr>
          <w:sz w:val="22"/>
          <w:szCs w:val="22"/>
        </w:rPr>
        <w:t>4</w:t>
      </w:r>
      <w:r w:rsidRPr="00977A6C">
        <w:rPr>
          <w:sz w:val="22"/>
          <w:szCs w:val="22"/>
        </w:rPr>
        <w:t xml:space="preserve">. </w:t>
      </w:r>
      <w:r w:rsidRPr="00997E89">
        <w:rPr>
          <w:iCs/>
          <w:sz w:val="22"/>
          <w:szCs w:val="22"/>
        </w:rPr>
        <w:t>Водолажский, К. Б. Фазовые состояния бинарных монослоев полиметилметакр</w:t>
      </w:r>
      <w:r w:rsidRPr="00997E89">
        <w:rPr>
          <w:iCs/>
          <w:sz w:val="22"/>
          <w:szCs w:val="22"/>
        </w:rPr>
        <w:t>и</w:t>
      </w:r>
      <w:r w:rsidRPr="00997E89">
        <w:rPr>
          <w:iCs/>
          <w:sz w:val="22"/>
          <w:szCs w:val="22"/>
        </w:rPr>
        <w:t>лат / низкомолекулярный органический люминофор [Текст] / К. Б. Водолажский, Н. И. Воронкина, А. В. Толмачев // Журнал Физической Химии. — 2002. — Т. 76, №11. — С. 1970—1974.</w:t>
      </w:r>
    </w:p>
    <w:p w:rsidR="00DC326A" w:rsidRDefault="00DC326A"/>
    <w:sectPr w:rsidR="00DC326A" w:rsidSect="00DC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BB7B9A"/>
    <w:rsid w:val="00BB7B9A"/>
    <w:rsid w:val="00DC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B7B9A"/>
    <w:pPr>
      <w:keepNext/>
      <w:jc w:val="center"/>
      <w:outlineLvl w:val="3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B7B9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3">
    <w:name w:val="Hyperlink"/>
    <w:rsid w:val="00BB7B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rzh@kture.khark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1784</Words>
  <Characters>10169</Characters>
  <Application>Microsoft Office Word</Application>
  <DocSecurity>0</DocSecurity>
  <Lines>84</Lines>
  <Paragraphs>23</Paragraphs>
  <ScaleCrop>false</ScaleCrop>
  <Company>Mi5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2012-11-29T12:35:00Z</dcterms:created>
  <dcterms:modified xsi:type="dcterms:W3CDTF">2012-11-29T12:36:00Z</dcterms:modified>
</cp:coreProperties>
</file>